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AI-Education 系统概要设计说明书</w:t>
      </w:r>
    </w:p>
    <w:p>
      <w:pPr>
        <w:jc w:val="center"/>
      </w:pPr>
      <w:r>
        <w:rPr>
          <w:rFonts w:ascii="宋体" w:hAnsi="宋体" w:eastAsia="宋体"/>
          <w:b w:val="0"/>
          <w:sz w:val="22"/>
        </w:rPr>
        <w:t>版本：2026-06-27 概要设计版</w:t>
      </w:r>
    </w:p>
    <w:p>
      <w:pPr>
        <w:pStyle w:val="Heading1"/>
      </w:pPr>
      <w:r>
        <w:rPr>
          <w:rFonts w:ascii="黑体" w:hAnsi="黑体" w:eastAsia="黑体"/>
          <w:b/>
          <w:sz w:val="32"/>
        </w:rPr>
        <w:t>1 概述</w:t>
      </w:r>
    </w:p>
    <w:p>
      <w:pPr>
        <w:spacing w:line="300" w:lineRule="auto"/>
        <w:ind w:firstLine="420"/>
      </w:pPr>
      <w:r>
        <w:rPr>
          <w:rFonts w:ascii="宋体" w:hAnsi="宋体" w:eastAsia="宋体"/>
          <w:b w:val="0"/>
          <w:sz w:val="21"/>
        </w:rPr>
        <w:t>本文档用于说明 AI-Education 系统的概要设计，重点覆盖系统总体设计、前后端架构、模块协作关系、数据流向、权限边界、核心接口边界和整体页面结构。本文档不展开数据库 ER 图和字段级表结构，相关内容应放入后续详细设计文档。</w:t>
      </w:r>
    </w:p>
    <w:p>
      <w:pPr>
        <w:spacing w:line="300" w:lineRule="auto"/>
        <w:ind w:firstLine="420"/>
      </w:pPr>
      <w:r>
        <w:rPr>
          <w:rFonts w:ascii="宋体" w:hAnsi="宋体" w:eastAsia="宋体"/>
          <w:b w:val="0"/>
          <w:sz w:val="21"/>
        </w:rPr>
        <w:t>系统采用前后端分离开发方式。前端基于 Vue 3、Vite、Vue Router 和 Element Plus 构建学生端、教师端、管理员端页面；后端基于 FastAPI 提供统一接口，并按业务模块拆分 Router 和服务层；数据访问层通过 DatabaseFactory 统一创建 MySQLStore，连接本地 MySQL 开发库。</w:t>
      </w:r>
    </w:p>
    <w:p>
      <w:pPr>
        <w:pStyle w:val="Heading1"/>
      </w:pPr>
      <w:r>
        <w:rPr>
          <w:rFonts w:ascii="黑体" w:hAnsi="黑体" w:eastAsia="黑体"/>
          <w:b/>
          <w:sz w:val="32"/>
        </w:rPr>
        <w:t>2 系统总体设计</w:t>
      </w:r>
    </w:p>
    <w:p>
      <w:pPr>
        <w:pStyle w:val="Heading2"/>
      </w:pPr>
      <w:r>
        <w:rPr>
          <w:rFonts w:ascii="黑体" w:hAnsi="黑体" w:eastAsia="黑体"/>
          <w:b/>
          <w:sz w:val="28"/>
        </w:rPr>
        <w:t>2.1 总体架构</w:t>
      </w:r>
    </w:p>
    <w:p>
      <w:pPr>
        <w:spacing w:line="300" w:lineRule="auto"/>
        <w:ind w:firstLine="420"/>
      </w:pPr>
      <w:r>
        <w:rPr>
          <w:rFonts w:ascii="宋体" w:hAnsi="宋体" w:eastAsia="宋体"/>
          <w:b w:val="0"/>
          <w:sz w:val="21"/>
        </w:rPr>
        <w:t>系统总体采用用户访问层、前端应用层、统一接口层、业务服务层、数据访问层和外部能力层的分层结构。前端负责页面组织、角色路由、表单交互和可视化展示；后端负责认证、业务编排、智能体调用、数据持久化和证据回流；数据层统一接入本地 MySQL 开发库，并保留课程资料、RAG 索引、日志等文件资源。</w:t>
      </w:r>
    </w:p>
    <w:p>
      <w:pPr>
        <w:jc w:val="center"/>
      </w:pPr>
      <w:r>
        <w:drawing>
          <wp:inline xmlns:a="http://schemas.openxmlformats.org/drawingml/2006/main" xmlns:pic="http://schemas.openxmlformats.org/drawingml/2006/picture">
            <wp:extent cx="5760720" cy="2361073"/>
            <wp:docPr id="3" name="Picture 3"/>
            <wp:cNvGraphicFramePr>
              <a:graphicFrameLocks noChangeAspect="1"/>
            </wp:cNvGraphicFramePr>
            <a:graphic>
              <a:graphicData uri="http://schemas.openxmlformats.org/drawingml/2006/picture">
                <pic:pic>
                  <pic:nvPicPr>
                    <pic:cNvPr id="0" name="fig_2_1_system_architecture.png"/>
                    <pic:cNvPicPr/>
                  </pic:nvPicPr>
                  <pic:blipFill>
                    <a:blip r:embed="rId11"/>
                    <a:stretch>
                      <a:fillRect/>
                    </a:stretch>
                  </pic:blipFill>
                  <pic:spPr>
                    <a:xfrm>
                      <a:off x="0" y="0"/>
                      <a:ext cx="5760720" cy="2361073"/>
                    </a:xfrm>
                    <a:prstGeom prst="rect"/>
                  </pic:spPr>
                </pic:pic>
              </a:graphicData>
            </a:graphic>
          </wp:inline>
        </w:drawing>
      </w:r>
    </w:p>
    <w:p>
      <w:pPr>
        <w:jc w:val="center"/>
      </w:pPr>
      <w:r>
        <w:rPr>
          <w:rFonts w:ascii="宋体" w:hAnsi="宋体" w:eastAsia="宋体"/>
          <w:b/>
          <w:sz w:val="21"/>
        </w:rPr>
        <w:t>图 2-1 AI-Education系统总体架构图</w:t>
      </w:r>
    </w:p>
    <w:p>
      <w:pPr>
        <w:pStyle w:val="Heading2"/>
      </w:pPr>
      <w:r>
        <w:rPr>
          <w:rFonts w:ascii="黑体" w:hAnsi="黑体" w:eastAsia="黑体"/>
          <w:b/>
          <w:sz w:val="28"/>
        </w:rPr>
        <w:t>2.2 前后端架构</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tcPr>
          <w:p>
            <w:pPr>
              <w:jc w:val="center"/>
            </w:pPr>
            <w:r>
              <w:rPr>
                <w:rFonts w:ascii="宋体" w:hAnsi="宋体" w:eastAsia="宋体"/>
                <w:b/>
                <w:sz w:val="19"/>
              </w:rPr>
              <w:t>层次</w:t>
            </w:r>
          </w:p>
        </w:tc>
        <w:tc>
          <w:tcPr>
            <w:tcW w:type="dxa" w:w="2448"/>
            <w:vAlign w:val="center"/>
          </w:tcPr>
          <w:p>
            <w:pPr>
              <w:jc w:val="center"/>
            </w:pPr>
            <w:r>
              <w:rPr>
                <w:rFonts w:ascii="宋体" w:hAnsi="宋体" w:eastAsia="宋体"/>
                <w:b/>
                <w:sz w:val="19"/>
              </w:rPr>
              <w:t>技术与组件</w:t>
            </w:r>
          </w:p>
        </w:tc>
        <w:tc>
          <w:tcPr>
            <w:tcW w:type="dxa" w:w="4320"/>
            <w:vAlign w:val="center"/>
          </w:tcPr>
          <w:p>
            <w:pPr>
              <w:jc w:val="center"/>
            </w:pPr>
            <w:r>
              <w:rPr>
                <w:rFonts w:ascii="宋体" w:hAnsi="宋体" w:eastAsia="宋体"/>
                <w:b/>
                <w:sz w:val="19"/>
              </w:rPr>
              <w:t>主要职责</w:t>
            </w:r>
          </w:p>
        </w:tc>
        <w:tc>
          <w:tcPr>
            <w:tcW w:type="dxa" w:w="3168"/>
            <w:vAlign w:val="center"/>
          </w:tcPr>
          <w:p>
            <w:pPr>
              <w:jc w:val="center"/>
            </w:pPr>
            <w:r>
              <w:rPr>
                <w:rFonts w:ascii="宋体" w:hAnsi="宋体" w:eastAsia="宋体"/>
                <w:b/>
                <w:sz w:val="19"/>
              </w:rPr>
              <w:t>边界说明</w:t>
            </w:r>
          </w:p>
        </w:tc>
      </w:tr>
      <w:tr>
        <w:tc>
          <w:tcPr>
            <w:tcW w:type="dxa" w:w="1584"/>
            <w:vAlign w:val="center"/>
          </w:tcPr>
          <w:p>
            <w:r>
              <w:rPr>
                <w:rFonts w:ascii="宋体" w:hAnsi="宋体" w:eastAsia="宋体"/>
                <w:b w:val="0"/>
                <w:sz w:val="19"/>
              </w:rPr>
              <w:t>前端应用层</w:t>
            </w:r>
          </w:p>
        </w:tc>
        <w:tc>
          <w:tcPr>
            <w:tcW w:type="dxa" w:w="2448"/>
            <w:vAlign w:val="center"/>
          </w:tcPr>
          <w:p>
            <w:r>
              <w:rPr>
                <w:rFonts w:ascii="宋体" w:hAnsi="宋体" w:eastAsia="宋体"/>
                <w:b w:val="0"/>
                <w:sz w:val="19"/>
              </w:rPr>
              <w:t>Vue 3、Vite、Vue Router、Element Plus、Axios、ECharts</w:t>
            </w:r>
          </w:p>
        </w:tc>
        <w:tc>
          <w:tcPr>
            <w:tcW w:type="dxa" w:w="4320"/>
            <w:vAlign w:val="center"/>
          </w:tcPr>
          <w:p>
            <w:r>
              <w:rPr>
                <w:rFonts w:ascii="宋体" w:hAnsi="宋体" w:eastAsia="宋体"/>
                <w:b w:val="0"/>
                <w:sz w:val="19"/>
              </w:rPr>
              <w:t>提供学生端、教师端、管理员端页面；按角色路由；调用后端 API；展示图谱、画像、看板和任务状态。</w:t>
            </w:r>
          </w:p>
        </w:tc>
        <w:tc>
          <w:tcPr>
            <w:tcW w:type="dxa" w:w="3168"/>
            <w:vAlign w:val="center"/>
          </w:tcPr>
          <w:p>
            <w:r>
              <w:rPr>
                <w:rFonts w:ascii="宋体" w:hAnsi="宋体" w:eastAsia="宋体"/>
                <w:b w:val="0"/>
                <w:sz w:val="19"/>
              </w:rPr>
              <w:t>不直接访问数据库，不在前端保存敏感权限状态，所有业务状态以后端返回为准。</w:t>
            </w:r>
          </w:p>
        </w:tc>
      </w:tr>
      <w:tr>
        <w:tc>
          <w:tcPr>
            <w:tcW w:type="dxa" w:w="1584"/>
            <w:vAlign w:val="center"/>
          </w:tcPr>
          <w:p>
            <w:r>
              <w:rPr>
                <w:rFonts w:ascii="宋体" w:hAnsi="宋体" w:eastAsia="宋体"/>
                <w:b w:val="0"/>
                <w:sz w:val="19"/>
              </w:rPr>
              <w:t>统一接口层</w:t>
            </w:r>
          </w:p>
        </w:tc>
        <w:tc>
          <w:tcPr>
            <w:tcW w:type="dxa" w:w="2448"/>
            <w:vAlign w:val="center"/>
          </w:tcPr>
          <w:p>
            <w:r>
              <w:rPr>
                <w:rFonts w:ascii="宋体" w:hAnsi="宋体" w:eastAsia="宋体"/>
                <w:b w:val="0"/>
                <w:sz w:val="19"/>
              </w:rPr>
              <w:t>FastAPI、APIRouter、CORS、GZip、StaticFiles</w:t>
            </w:r>
          </w:p>
        </w:tc>
        <w:tc>
          <w:tcPr>
            <w:tcW w:type="dxa" w:w="4320"/>
            <w:vAlign w:val="center"/>
          </w:tcPr>
          <w:p>
            <w:r>
              <w:rPr>
                <w:rFonts w:ascii="宋体" w:hAnsi="宋体" w:eastAsia="宋体"/>
                <w:b w:val="0"/>
                <w:sz w:val="19"/>
              </w:rPr>
              <w:t>承接前端请求，统一挂载业务 Router，处理会话、权限、文件访问、静态资源和 SPA 回退。</w:t>
            </w:r>
          </w:p>
        </w:tc>
        <w:tc>
          <w:tcPr>
            <w:tcW w:type="dxa" w:w="3168"/>
            <w:vAlign w:val="center"/>
          </w:tcPr>
          <w:p>
            <w:r>
              <w:rPr>
                <w:rFonts w:ascii="宋体" w:hAnsi="宋体" w:eastAsia="宋体"/>
                <w:b w:val="0"/>
                <w:sz w:val="19"/>
              </w:rPr>
              <w:t>接口负责边界校验和请求编排，复杂业务规则下沉到模块服务。</w:t>
            </w:r>
          </w:p>
        </w:tc>
      </w:tr>
      <w:tr>
        <w:tc>
          <w:tcPr>
            <w:tcW w:type="dxa" w:w="1584"/>
            <w:vAlign w:val="center"/>
          </w:tcPr>
          <w:p>
            <w:r>
              <w:rPr>
                <w:rFonts w:ascii="宋体" w:hAnsi="宋体" w:eastAsia="宋体"/>
                <w:b w:val="0"/>
                <w:sz w:val="19"/>
              </w:rPr>
              <w:t>业务服务层</w:t>
            </w:r>
          </w:p>
        </w:tc>
        <w:tc>
          <w:tcPr>
            <w:tcW w:type="dxa" w:w="2448"/>
            <w:vAlign w:val="center"/>
          </w:tcPr>
          <w:p>
            <w:r>
              <w:rPr>
                <w:rFonts w:ascii="宋体" w:hAnsi="宋体" w:eastAsia="宋体"/>
                <w:b w:val="0"/>
                <w:sz w:val="19"/>
              </w:rPr>
              <w:t>课程、测验、作业、学生数字孪生、诊断、路径、干预、教师看板、行业情报、5E</w:t>
            </w:r>
          </w:p>
        </w:tc>
        <w:tc>
          <w:tcPr>
            <w:tcW w:type="dxa" w:w="4320"/>
            <w:vAlign w:val="center"/>
          </w:tcPr>
          <w:p>
            <w:r>
              <w:rPr>
                <w:rFonts w:ascii="宋体" w:hAnsi="宋体" w:eastAsia="宋体"/>
                <w:b w:val="0"/>
                <w:sz w:val="19"/>
              </w:rPr>
              <w:t>实现核心业务规则、智能体编排、证据汇聚、任务流转和教师审核流程。</w:t>
            </w:r>
          </w:p>
        </w:tc>
        <w:tc>
          <w:tcPr>
            <w:tcW w:type="dxa" w:w="3168"/>
            <w:vAlign w:val="center"/>
          </w:tcPr>
          <w:p>
            <w:r>
              <w:rPr>
                <w:rFonts w:ascii="宋体" w:hAnsi="宋体" w:eastAsia="宋体"/>
                <w:b w:val="0"/>
                <w:sz w:val="19"/>
              </w:rPr>
              <w:t>模块之间通过明确输入输出协作，避免互相改写对方的原始数据。</w:t>
            </w:r>
          </w:p>
        </w:tc>
      </w:tr>
      <w:tr>
        <w:tc>
          <w:tcPr>
            <w:tcW w:type="dxa" w:w="1584"/>
            <w:vAlign w:val="center"/>
          </w:tcPr>
          <w:p>
            <w:r>
              <w:rPr>
                <w:rFonts w:ascii="宋体" w:hAnsi="宋体" w:eastAsia="宋体"/>
                <w:b w:val="0"/>
                <w:sz w:val="19"/>
              </w:rPr>
              <w:t>数据访问层</w:t>
            </w:r>
          </w:p>
        </w:tc>
        <w:tc>
          <w:tcPr>
            <w:tcW w:type="dxa" w:w="2448"/>
            <w:vAlign w:val="center"/>
          </w:tcPr>
          <w:p>
            <w:r>
              <w:rPr>
                <w:rFonts w:ascii="宋体" w:hAnsi="宋体" w:eastAsia="宋体"/>
                <w:b w:val="0"/>
                <w:sz w:val="19"/>
              </w:rPr>
              <w:t>DatabaseFactory、MySQLStore、连接池、事务管理</w:t>
            </w:r>
          </w:p>
        </w:tc>
        <w:tc>
          <w:tcPr>
            <w:tcW w:type="dxa" w:w="4320"/>
            <w:vAlign w:val="center"/>
          </w:tcPr>
          <w:p>
            <w:r>
              <w:rPr>
                <w:rFonts w:ascii="宋体" w:hAnsi="宋体" w:eastAsia="宋体"/>
                <w:b w:val="0"/>
                <w:sz w:val="19"/>
              </w:rPr>
              <w:t>统一访问本地 MySQL 开发库，提供用户、课程、画像、证据、任务和日志数据的读写能力。</w:t>
            </w:r>
          </w:p>
        </w:tc>
        <w:tc>
          <w:tcPr>
            <w:tcW w:type="dxa" w:w="3168"/>
            <w:vAlign w:val="center"/>
          </w:tcPr>
          <w:p>
            <w:r>
              <w:rPr>
                <w:rFonts w:ascii="宋体" w:hAnsi="宋体" w:eastAsia="宋体"/>
                <w:b w:val="0"/>
                <w:sz w:val="19"/>
              </w:rPr>
              <w:t>业务模块不直接拼接跨域数据结构，关键写入通过服务层控制事务边界。</w:t>
            </w:r>
          </w:p>
        </w:tc>
      </w:tr>
      <w:tr>
        <w:tc>
          <w:tcPr>
            <w:tcW w:type="dxa" w:w="1584"/>
            <w:vAlign w:val="center"/>
          </w:tcPr>
          <w:p>
            <w:r>
              <w:rPr>
                <w:rFonts w:ascii="宋体" w:hAnsi="宋体" w:eastAsia="宋体"/>
                <w:b w:val="0"/>
                <w:sz w:val="19"/>
              </w:rPr>
              <w:t>外部能力层</w:t>
            </w:r>
          </w:p>
        </w:tc>
        <w:tc>
          <w:tcPr>
            <w:tcW w:type="dxa" w:w="2448"/>
            <w:vAlign w:val="center"/>
          </w:tcPr>
          <w:p>
            <w:r>
              <w:rPr>
                <w:rFonts w:ascii="宋体" w:hAnsi="宋体" w:eastAsia="宋体"/>
                <w:b w:val="0"/>
                <w:sz w:val="19"/>
              </w:rPr>
              <w:t>大模型服务、RAG、OCR、B站/YouTube/CSDN、OJ 沙箱</w:t>
            </w:r>
          </w:p>
        </w:tc>
        <w:tc>
          <w:tcPr>
            <w:tcW w:type="dxa" w:w="4320"/>
            <w:vAlign w:val="center"/>
          </w:tcPr>
          <w:p>
            <w:r>
              <w:rPr>
                <w:rFonts w:ascii="宋体" w:hAnsi="宋体" w:eastAsia="宋体"/>
                <w:b w:val="0"/>
                <w:sz w:val="19"/>
              </w:rPr>
              <w:t>提供问答、内容生成、资源检索、文本识别、代码判题等能力。</w:t>
            </w:r>
          </w:p>
        </w:tc>
        <w:tc>
          <w:tcPr>
            <w:tcW w:type="dxa" w:w="3168"/>
            <w:vAlign w:val="center"/>
          </w:tcPr>
          <w:p>
            <w:r>
              <w:rPr>
                <w:rFonts w:ascii="宋体" w:hAnsi="宋体" w:eastAsia="宋体"/>
                <w:b w:val="0"/>
                <w:sz w:val="19"/>
              </w:rPr>
              <w:t>外部能力输出均作为候选、草稿或辅助证据，关键教学发布动作需要教师确认。</w:t>
            </w:r>
          </w:p>
        </w:tc>
      </w:tr>
    </w:tbl>
    <w:p>
      <w:pPr>
        <w:pStyle w:val="Heading2"/>
      </w:pPr>
      <w:r>
        <w:rPr>
          <w:rFonts w:ascii="黑体" w:hAnsi="黑体" w:eastAsia="黑体"/>
          <w:b/>
          <w:sz w:val="28"/>
        </w:rPr>
        <w:t>2.3 部署与运行边界</w:t>
      </w:r>
    </w:p>
    <w:p>
      <w:pPr>
        <w:spacing w:line="300" w:lineRule="auto"/>
        <w:ind w:firstLine="420"/>
      </w:pPr>
      <w:r>
        <w:rPr>
          <w:rFonts w:ascii="宋体" w:hAnsi="宋体" w:eastAsia="宋体"/>
          <w:b w:val="0"/>
          <w:sz w:val="21"/>
        </w:rPr>
        <w:t>开发环境采用本地前端开发服务与后端 FastAPI 服务联调。前端开发服务通过 Axios 访问后端接口，生产或演示环境可由 FastAPI 托管前端构建产物。数据库按本地 MySQL 开发库口径设计，配置项包括 DB_TYPE=mysql、DB_HOST、DB_PORT、DB_USER、DB_PASSWORD、DB_NAME 和 DB_CHARSET。</w:t>
      </w:r>
    </w:p>
    <w:p>
      <w:pPr>
        <w:pStyle w:val="Heading1"/>
      </w:pPr>
      <w:r>
        <w:rPr>
          <w:rFonts w:ascii="黑体" w:hAnsi="黑体" w:eastAsia="黑体"/>
          <w:b/>
          <w:sz w:val="32"/>
        </w:rPr>
        <w:t>3 模块协作关系</w:t>
      </w:r>
    </w:p>
    <w:p>
      <w:pPr>
        <w:spacing w:line="300" w:lineRule="auto"/>
        <w:ind w:firstLine="420"/>
      </w:pPr>
      <w:r>
        <w:rPr>
          <w:rFonts w:ascii="宋体" w:hAnsi="宋体" w:eastAsia="宋体"/>
          <w:b w:val="0"/>
          <w:sz w:val="21"/>
        </w:rPr>
        <w:t>系统模块协作以课程底座和学习证据为主线。课程数字孪生与课程资源模块提供课程图谱、资源关系和职业能力映射；学生学习空间、5E、测验、作业和代码题产生学习证据；学生数字孪生聚合状态；诊断智能体解释薄弱原因；个性化路径和教师智能干预将诊断结果转化为学生可执行的学习安排；教师看板负责教师侧观察、下钻和处理入口。</w:t>
      </w:r>
    </w:p>
    <w:p>
      <w:pPr>
        <w:jc w:val="center"/>
      </w:pPr>
      <w:r>
        <w:drawing>
          <wp:inline xmlns:a="http://schemas.openxmlformats.org/drawingml/2006/main" xmlns:pic="http://schemas.openxmlformats.org/drawingml/2006/picture">
            <wp:extent cx="5760720" cy="7393237"/>
            <wp:docPr id="4" name="Picture 4"/>
            <wp:cNvGraphicFramePr>
              <a:graphicFrameLocks noChangeAspect="1"/>
            </wp:cNvGraphicFramePr>
            <a:graphic>
              <a:graphicData uri="http://schemas.openxmlformats.org/drawingml/2006/picture">
                <pic:pic>
                  <pic:nvPicPr>
                    <pic:cNvPr id="0" name="fig_3_1_module_collaboration.png"/>
                    <pic:cNvPicPr/>
                  </pic:nvPicPr>
                  <pic:blipFill>
                    <a:blip r:embed="rId12"/>
                    <a:stretch>
                      <a:fillRect/>
                    </a:stretch>
                  </pic:blipFill>
                  <pic:spPr>
                    <a:xfrm>
                      <a:off x="0" y="0"/>
                      <a:ext cx="5760720" cy="7393237"/>
                    </a:xfrm>
                    <a:prstGeom prst="rect"/>
                  </pic:spPr>
                </pic:pic>
              </a:graphicData>
            </a:graphic>
          </wp:inline>
        </w:drawing>
      </w:r>
    </w:p>
    <w:p>
      <w:pPr>
        <w:jc w:val="center"/>
      </w:pPr>
      <w:r>
        <w:rPr>
          <w:rFonts w:ascii="宋体" w:hAnsi="宋体" w:eastAsia="宋体"/>
          <w:b/>
          <w:sz w:val="21"/>
        </w:rPr>
        <w:t>图 3-1 核心模块协作关系图</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center"/>
          </w:tcPr>
          <w:p>
            <w:pPr>
              <w:jc w:val="center"/>
            </w:pPr>
            <w:r>
              <w:rPr>
                <w:rFonts w:ascii="宋体" w:hAnsi="宋体" w:eastAsia="宋体"/>
                <w:b/>
                <w:sz w:val="19"/>
              </w:rPr>
              <w:t>模块</w:t>
            </w:r>
          </w:p>
        </w:tc>
        <w:tc>
          <w:tcPr>
            <w:tcW w:type="dxa" w:w="2520"/>
            <w:vAlign w:val="center"/>
          </w:tcPr>
          <w:p>
            <w:pPr>
              <w:jc w:val="center"/>
            </w:pPr>
            <w:r>
              <w:rPr>
                <w:rFonts w:ascii="宋体" w:hAnsi="宋体" w:eastAsia="宋体"/>
                <w:b/>
                <w:sz w:val="19"/>
              </w:rPr>
              <w:t>上游输入</w:t>
            </w:r>
          </w:p>
        </w:tc>
        <w:tc>
          <w:tcPr>
            <w:tcW w:type="dxa" w:w="3240"/>
            <w:vAlign w:val="center"/>
          </w:tcPr>
          <w:p>
            <w:pPr>
              <w:jc w:val="center"/>
            </w:pPr>
            <w:r>
              <w:rPr>
                <w:rFonts w:ascii="宋体" w:hAnsi="宋体" w:eastAsia="宋体"/>
                <w:b/>
                <w:sz w:val="19"/>
              </w:rPr>
              <w:t>核心处理</w:t>
            </w:r>
          </w:p>
        </w:tc>
        <w:tc>
          <w:tcPr>
            <w:tcW w:type="dxa" w:w="2448"/>
            <w:vAlign w:val="center"/>
          </w:tcPr>
          <w:p>
            <w:pPr>
              <w:jc w:val="center"/>
            </w:pPr>
            <w:r>
              <w:rPr>
                <w:rFonts w:ascii="宋体" w:hAnsi="宋体" w:eastAsia="宋体"/>
                <w:b/>
                <w:sz w:val="19"/>
              </w:rPr>
              <w:t>下游输出</w:t>
            </w:r>
          </w:p>
        </w:tc>
        <w:tc>
          <w:tcPr>
            <w:tcW w:type="dxa" w:w="2160"/>
            <w:vAlign w:val="center"/>
          </w:tcPr>
          <w:p>
            <w:pPr>
              <w:jc w:val="center"/>
            </w:pPr>
            <w:r>
              <w:rPr>
                <w:rFonts w:ascii="宋体" w:hAnsi="宋体" w:eastAsia="宋体"/>
                <w:b/>
                <w:sz w:val="19"/>
              </w:rPr>
              <w:t>边界</w:t>
            </w:r>
          </w:p>
        </w:tc>
      </w:tr>
      <w:tr>
        <w:tc>
          <w:tcPr>
            <w:tcW w:type="dxa" w:w="1800"/>
            <w:vAlign w:val="center"/>
          </w:tcPr>
          <w:p>
            <w:r>
              <w:rPr>
                <w:rFonts w:ascii="宋体" w:hAnsi="宋体" w:eastAsia="宋体"/>
                <w:b w:val="0"/>
                <w:sz w:val="19"/>
              </w:rPr>
              <w:t>课程数字孪生与资源</w:t>
            </w:r>
          </w:p>
        </w:tc>
        <w:tc>
          <w:tcPr>
            <w:tcW w:type="dxa" w:w="2520"/>
            <w:vAlign w:val="center"/>
          </w:tcPr>
          <w:p>
            <w:r>
              <w:rPr>
                <w:rFonts w:ascii="宋体" w:hAnsi="宋体" w:eastAsia="宋体"/>
                <w:b w:val="0"/>
                <w:sz w:val="19"/>
              </w:rPr>
              <w:t>教师录入课程结构、资源、岗位方向、行业能力候选</w:t>
            </w:r>
          </w:p>
        </w:tc>
        <w:tc>
          <w:tcPr>
            <w:tcW w:type="dxa" w:w="3240"/>
            <w:vAlign w:val="center"/>
          </w:tcPr>
          <w:p>
            <w:r>
              <w:rPr>
                <w:rFonts w:ascii="宋体" w:hAnsi="宋体" w:eastAsia="宋体"/>
                <w:b w:val="0"/>
                <w:sz w:val="19"/>
              </w:rPr>
              <w:t>生成并维护课程图谱、叶子知识点资源绑定、职业能力映射和课程运行状态</w:t>
            </w:r>
          </w:p>
        </w:tc>
        <w:tc>
          <w:tcPr>
            <w:tcW w:type="dxa" w:w="2448"/>
            <w:vAlign w:val="center"/>
          </w:tcPr>
          <w:p>
            <w:r>
              <w:rPr>
                <w:rFonts w:ascii="宋体" w:hAnsi="宋体" w:eastAsia="宋体"/>
                <w:b w:val="0"/>
                <w:sz w:val="19"/>
              </w:rPr>
              <w:t>课程底座、资源关系、能力关系、课程健康信号</w:t>
            </w:r>
          </w:p>
        </w:tc>
        <w:tc>
          <w:tcPr>
            <w:tcW w:type="dxa" w:w="2160"/>
            <w:vAlign w:val="center"/>
          </w:tcPr>
          <w:p>
            <w:r>
              <w:rPr>
                <w:rFonts w:ascii="宋体" w:hAnsi="宋体" w:eastAsia="宋体"/>
                <w:b w:val="0"/>
                <w:sz w:val="19"/>
              </w:rPr>
              <w:t>负责课程侧状态，不负责学生个体诊断。</w:t>
            </w:r>
          </w:p>
        </w:tc>
      </w:tr>
      <w:tr>
        <w:tc>
          <w:tcPr>
            <w:tcW w:type="dxa" w:w="1800"/>
            <w:vAlign w:val="center"/>
          </w:tcPr>
          <w:p>
            <w:r>
              <w:rPr>
                <w:rFonts w:ascii="宋体" w:hAnsi="宋体" w:eastAsia="宋体"/>
                <w:b w:val="0"/>
                <w:sz w:val="19"/>
              </w:rPr>
              <w:t>学生学习空间与5E</w:t>
            </w:r>
          </w:p>
        </w:tc>
        <w:tc>
          <w:tcPr>
            <w:tcW w:type="dxa" w:w="2520"/>
            <w:vAlign w:val="center"/>
          </w:tcPr>
          <w:p>
            <w:r>
              <w:rPr>
                <w:rFonts w:ascii="宋体" w:hAnsi="宋体" w:eastAsia="宋体"/>
                <w:b w:val="0"/>
                <w:sz w:val="19"/>
              </w:rPr>
              <w:t>课程图谱、资源、路径节点、学生当前状态</w:t>
            </w:r>
          </w:p>
        </w:tc>
        <w:tc>
          <w:tcPr>
            <w:tcW w:type="dxa" w:w="3240"/>
            <w:vAlign w:val="center"/>
          </w:tcPr>
          <w:p>
            <w:r>
              <w:rPr>
                <w:rFonts w:ascii="宋体" w:hAnsi="宋体" w:eastAsia="宋体"/>
                <w:b w:val="0"/>
                <w:sz w:val="19"/>
              </w:rPr>
              <w:t>承接学生学习入口、资源学习、5E 对话引导和学习行为记录</w:t>
            </w:r>
          </w:p>
        </w:tc>
        <w:tc>
          <w:tcPr>
            <w:tcW w:type="dxa" w:w="2448"/>
            <w:vAlign w:val="center"/>
          </w:tcPr>
          <w:p>
            <w:r>
              <w:rPr>
                <w:rFonts w:ascii="宋体" w:hAnsi="宋体" w:eastAsia="宋体"/>
                <w:b w:val="0"/>
                <w:sz w:val="19"/>
              </w:rPr>
              <w:t>学习行为、5E过程证据、资源使用记录</w:t>
            </w:r>
          </w:p>
        </w:tc>
        <w:tc>
          <w:tcPr>
            <w:tcW w:type="dxa" w:w="2160"/>
            <w:vAlign w:val="center"/>
          </w:tcPr>
          <w:p>
            <w:r>
              <w:rPr>
                <w:rFonts w:ascii="宋体" w:hAnsi="宋体" w:eastAsia="宋体"/>
                <w:b w:val="0"/>
                <w:sz w:val="19"/>
              </w:rPr>
              <w:t>负责学习过程，不替代测验、作业和诊断。</w:t>
            </w:r>
          </w:p>
        </w:tc>
      </w:tr>
      <w:tr>
        <w:tc>
          <w:tcPr>
            <w:tcW w:type="dxa" w:w="1800"/>
            <w:vAlign w:val="center"/>
          </w:tcPr>
          <w:p>
            <w:r>
              <w:rPr>
                <w:rFonts w:ascii="宋体" w:hAnsi="宋体" w:eastAsia="宋体"/>
                <w:b w:val="0"/>
                <w:sz w:val="19"/>
              </w:rPr>
              <w:t>测验与作业评测</w:t>
            </w:r>
          </w:p>
        </w:tc>
        <w:tc>
          <w:tcPr>
            <w:tcW w:type="dxa" w:w="2520"/>
            <w:vAlign w:val="center"/>
          </w:tcPr>
          <w:p>
            <w:r>
              <w:rPr>
                <w:rFonts w:ascii="宋体" w:hAnsi="宋体" w:eastAsia="宋体"/>
                <w:b w:val="0"/>
                <w:sz w:val="19"/>
              </w:rPr>
              <w:t>课程节点、教师发布作业、学生作答和代码提交</w:t>
            </w:r>
          </w:p>
        </w:tc>
        <w:tc>
          <w:tcPr>
            <w:tcW w:type="dxa" w:w="3240"/>
            <w:vAlign w:val="center"/>
          </w:tcPr>
          <w:p>
            <w:r>
              <w:rPr>
                <w:rFonts w:ascii="宋体" w:hAnsi="宋体" w:eastAsia="宋体"/>
                <w:b w:val="0"/>
                <w:sz w:val="19"/>
              </w:rPr>
              <w:t>完成题目生成/调用、提交、判题、教师终审和成绩记录</w:t>
            </w:r>
          </w:p>
        </w:tc>
        <w:tc>
          <w:tcPr>
            <w:tcW w:type="dxa" w:w="2448"/>
            <w:vAlign w:val="center"/>
          </w:tcPr>
          <w:p>
            <w:r>
              <w:rPr>
                <w:rFonts w:ascii="宋体" w:hAnsi="宋体" w:eastAsia="宋体"/>
                <w:b w:val="0"/>
                <w:sz w:val="19"/>
              </w:rPr>
              <w:t>测验证据、作业证据、代码题证据</w:t>
            </w:r>
          </w:p>
        </w:tc>
        <w:tc>
          <w:tcPr>
            <w:tcW w:type="dxa" w:w="2160"/>
            <w:vAlign w:val="center"/>
          </w:tcPr>
          <w:p>
            <w:r>
              <w:rPr>
                <w:rFonts w:ascii="宋体" w:hAnsi="宋体" w:eastAsia="宋体"/>
                <w:b w:val="0"/>
                <w:sz w:val="19"/>
              </w:rPr>
              <w:t>测验和作业是强证据来源，但不直接生成完整画像解释。</w:t>
            </w:r>
          </w:p>
        </w:tc>
      </w:tr>
      <w:tr>
        <w:tc>
          <w:tcPr>
            <w:tcW w:type="dxa" w:w="1800"/>
            <w:vAlign w:val="center"/>
          </w:tcPr>
          <w:p>
            <w:r>
              <w:rPr>
                <w:rFonts w:ascii="宋体" w:hAnsi="宋体" w:eastAsia="宋体"/>
                <w:b w:val="0"/>
                <w:sz w:val="19"/>
              </w:rPr>
              <w:t>学生数字孪生</w:t>
            </w:r>
          </w:p>
        </w:tc>
        <w:tc>
          <w:tcPr>
            <w:tcW w:type="dxa" w:w="2520"/>
            <w:vAlign w:val="center"/>
          </w:tcPr>
          <w:p>
            <w:r>
              <w:rPr>
                <w:rFonts w:ascii="宋体" w:hAnsi="宋体" w:eastAsia="宋体"/>
                <w:b w:val="0"/>
                <w:sz w:val="19"/>
              </w:rPr>
              <w:t>学习行为、测验、作业、章节综合实践能力、路径完成情况</w:t>
            </w:r>
          </w:p>
        </w:tc>
        <w:tc>
          <w:tcPr>
            <w:tcW w:type="dxa" w:w="3240"/>
            <w:vAlign w:val="center"/>
          </w:tcPr>
          <w:p>
            <w:r>
              <w:rPr>
                <w:rFonts w:ascii="宋体" w:hAnsi="宋体" w:eastAsia="宋体"/>
                <w:b w:val="0"/>
                <w:sz w:val="19"/>
              </w:rPr>
              <w:t>聚合学生状态、掌握度、风险标签和证据时间线</w:t>
            </w:r>
          </w:p>
        </w:tc>
        <w:tc>
          <w:tcPr>
            <w:tcW w:type="dxa" w:w="2448"/>
            <w:vAlign w:val="center"/>
          </w:tcPr>
          <w:p>
            <w:r>
              <w:rPr>
                <w:rFonts w:ascii="宋体" w:hAnsi="宋体" w:eastAsia="宋体"/>
                <w:b w:val="0"/>
                <w:sz w:val="19"/>
              </w:rPr>
              <w:t>画像状态、薄弱节点、章节实践能力、学生端展示数据</w:t>
            </w:r>
          </w:p>
        </w:tc>
        <w:tc>
          <w:tcPr>
            <w:tcW w:type="dxa" w:w="2160"/>
            <w:vAlign w:val="center"/>
          </w:tcPr>
          <w:p>
            <w:r>
              <w:rPr>
                <w:rFonts w:ascii="宋体" w:hAnsi="宋体" w:eastAsia="宋体"/>
                <w:b w:val="0"/>
                <w:sz w:val="19"/>
              </w:rPr>
              <w:t>负责状态计算，不直接生成最终干预任务。</w:t>
            </w:r>
          </w:p>
        </w:tc>
      </w:tr>
      <w:tr>
        <w:tc>
          <w:tcPr>
            <w:tcW w:type="dxa" w:w="1800"/>
            <w:vAlign w:val="center"/>
          </w:tcPr>
          <w:p>
            <w:r>
              <w:rPr>
                <w:rFonts w:ascii="宋体" w:hAnsi="宋体" w:eastAsia="宋体"/>
                <w:b w:val="0"/>
                <w:sz w:val="19"/>
              </w:rPr>
              <w:t>诊断智能体</w:t>
            </w:r>
          </w:p>
        </w:tc>
        <w:tc>
          <w:tcPr>
            <w:tcW w:type="dxa" w:w="2520"/>
            <w:vAlign w:val="center"/>
          </w:tcPr>
          <w:p>
            <w:r>
              <w:rPr>
                <w:rFonts w:ascii="宋体" w:hAnsi="宋体" w:eastAsia="宋体"/>
                <w:b w:val="0"/>
                <w:sz w:val="19"/>
              </w:rPr>
              <w:t>学生画像、学习证据、课程底座、课程运行信号</w:t>
            </w:r>
          </w:p>
        </w:tc>
        <w:tc>
          <w:tcPr>
            <w:tcW w:type="dxa" w:w="3240"/>
            <w:vAlign w:val="center"/>
          </w:tcPr>
          <w:p>
            <w:r>
              <w:rPr>
                <w:rFonts w:ascii="宋体" w:hAnsi="宋体" w:eastAsia="宋体"/>
                <w:b w:val="0"/>
                <w:sz w:val="19"/>
              </w:rPr>
              <w:t>解释薄弱原因、判断证据充分性、给出建议动作类型</w:t>
            </w:r>
          </w:p>
        </w:tc>
        <w:tc>
          <w:tcPr>
            <w:tcW w:type="dxa" w:w="2448"/>
            <w:vAlign w:val="center"/>
          </w:tcPr>
          <w:p>
            <w:r>
              <w:rPr>
                <w:rFonts w:ascii="宋体" w:hAnsi="宋体" w:eastAsia="宋体"/>
                <w:b w:val="0"/>
                <w:sz w:val="19"/>
              </w:rPr>
              <w:t>诊断结论、依据等级、建议动作</w:t>
            </w:r>
          </w:p>
        </w:tc>
        <w:tc>
          <w:tcPr>
            <w:tcW w:type="dxa" w:w="2160"/>
            <w:vAlign w:val="center"/>
          </w:tcPr>
          <w:p>
            <w:r>
              <w:rPr>
                <w:rFonts w:ascii="宋体" w:hAnsi="宋体" w:eastAsia="宋体"/>
                <w:b w:val="0"/>
                <w:sz w:val="19"/>
              </w:rPr>
              <w:t>负责解释层，不直接改写画像原始分和正式路径。</w:t>
            </w:r>
          </w:p>
        </w:tc>
      </w:tr>
      <w:tr>
        <w:tc>
          <w:tcPr>
            <w:tcW w:type="dxa" w:w="1800"/>
            <w:vAlign w:val="center"/>
          </w:tcPr>
          <w:p>
            <w:r>
              <w:rPr>
                <w:rFonts w:ascii="宋体" w:hAnsi="宋体" w:eastAsia="宋体"/>
                <w:b w:val="0"/>
                <w:sz w:val="19"/>
              </w:rPr>
              <w:t>个性化路径</w:t>
            </w:r>
          </w:p>
        </w:tc>
        <w:tc>
          <w:tcPr>
            <w:tcW w:type="dxa" w:w="2520"/>
            <w:vAlign w:val="center"/>
          </w:tcPr>
          <w:p>
            <w:r>
              <w:rPr>
                <w:rFonts w:ascii="宋体" w:hAnsi="宋体" w:eastAsia="宋体"/>
                <w:b w:val="0"/>
                <w:sz w:val="19"/>
              </w:rPr>
              <w:t>诊断结论、课程图谱、教师要求、学生目标</w:t>
            </w:r>
          </w:p>
        </w:tc>
        <w:tc>
          <w:tcPr>
            <w:tcW w:type="dxa" w:w="3240"/>
            <w:vAlign w:val="center"/>
          </w:tcPr>
          <w:p>
            <w:r>
              <w:rPr>
                <w:rFonts w:ascii="宋体" w:hAnsi="宋体" w:eastAsia="宋体"/>
                <w:b w:val="0"/>
                <w:sz w:val="19"/>
              </w:rPr>
              <w:t>从已发布课程图谱中组织正式路径节点，补充外部学习项</w:t>
            </w:r>
          </w:p>
        </w:tc>
        <w:tc>
          <w:tcPr>
            <w:tcW w:type="dxa" w:w="2448"/>
            <w:vAlign w:val="center"/>
          </w:tcPr>
          <w:p>
            <w:r>
              <w:rPr>
                <w:rFonts w:ascii="宋体" w:hAnsi="宋体" w:eastAsia="宋体"/>
                <w:b w:val="0"/>
                <w:sz w:val="19"/>
              </w:rPr>
              <w:t>路径版本、补学节点、任务引用建议</w:t>
            </w:r>
          </w:p>
        </w:tc>
        <w:tc>
          <w:tcPr>
            <w:tcW w:type="dxa" w:w="2160"/>
            <w:vAlign w:val="center"/>
          </w:tcPr>
          <w:p>
            <w:r>
              <w:rPr>
                <w:rFonts w:ascii="宋体" w:hAnsi="宋体" w:eastAsia="宋体"/>
                <w:b w:val="0"/>
                <w:sz w:val="19"/>
              </w:rPr>
              <w:t>正式节点必须来自课程图谱，外部概念仅作补充学习项。</w:t>
            </w:r>
          </w:p>
        </w:tc>
      </w:tr>
      <w:tr>
        <w:tc>
          <w:tcPr>
            <w:tcW w:type="dxa" w:w="1800"/>
            <w:vAlign w:val="center"/>
          </w:tcPr>
          <w:p>
            <w:r>
              <w:rPr>
                <w:rFonts w:ascii="宋体" w:hAnsi="宋体" w:eastAsia="宋体"/>
                <w:b w:val="0"/>
                <w:sz w:val="19"/>
              </w:rPr>
              <w:t>教师智能干预</w:t>
            </w:r>
          </w:p>
        </w:tc>
        <w:tc>
          <w:tcPr>
            <w:tcW w:type="dxa" w:w="2520"/>
            <w:vAlign w:val="center"/>
          </w:tcPr>
          <w:p>
            <w:r>
              <w:rPr>
                <w:rFonts w:ascii="宋体" w:hAnsi="宋体" w:eastAsia="宋体"/>
                <w:b w:val="0"/>
                <w:sz w:val="19"/>
              </w:rPr>
              <w:t>诊断结论、路径建议、资源/测验/作业入口</w:t>
            </w:r>
          </w:p>
        </w:tc>
        <w:tc>
          <w:tcPr>
            <w:tcW w:type="dxa" w:w="3240"/>
            <w:vAlign w:val="center"/>
          </w:tcPr>
          <w:p>
            <w:r>
              <w:rPr>
                <w:rFonts w:ascii="宋体" w:hAnsi="宋体" w:eastAsia="宋体"/>
                <w:b w:val="0"/>
                <w:sz w:val="19"/>
              </w:rPr>
              <w:t>生成任务包草稿，等待教师审核、修改、确认后下发</w:t>
            </w:r>
          </w:p>
        </w:tc>
        <w:tc>
          <w:tcPr>
            <w:tcW w:type="dxa" w:w="2448"/>
            <w:vAlign w:val="center"/>
          </w:tcPr>
          <w:p>
            <w:r>
              <w:rPr>
                <w:rFonts w:ascii="宋体" w:hAnsi="宋体" w:eastAsia="宋体"/>
                <w:b w:val="0"/>
                <w:sz w:val="19"/>
              </w:rPr>
              <w:t>已下发任务包、学生执行结果</w:t>
            </w:r>
          </w:p>
        </w:tc>
        <w:tc>
          <w:tcPr>
            <w:tcW w:type="dxa" w:w="2160"/>
            <w:vAlign w:val="center"/>
          </w:tcPr>
          <w:p>
            <w:r>
              <w:rPr>
                <w:rFonts w:ascii="宋体" w:hAnsi="宋体" w:eastAsia="宋体"/>
                <w:b w:val="0"/>
                <w:sz w:val="19"/>
              </w:rPr>
              <w:t>AI 只生成草稿，不能绕过教师直接发给学生。</w:t>
            </w:r>
          </w:p>
        </w:tc>
      </w:tr>
      <w:tr>
        <w:tc>
          <w:tcPr>
            <w:tcW w:type="dxa" w:w="1800"/>
            <w:vAlign w:val="center"/>
          </w:tcPr>
          <w:p>
            <w:r>
              <w:rPr>
                <w:rFonts w:ascii="宋体" w:hAnsi="宋体" w:eastAsia="宋体"/>
                <w:b w:val="0"/>
                <w:sz w:val="19"/>
              </w:rPr>
              <w:t>教师看板与教师数字孪生</w:t>
            </w:r>
          </w:p>
        </w:tc>
        <w:tc>
          <w:tcPr>
            <w:tcW w:type="dxa" w:w="2520"/>
            <w:vAlign w:val="center"/>
          </w:tcPr>
          <w:p>
            <w:r>
              <w:rPr>
                <w:rFonts w:ascii="宋体" w:hAnsi="宋体" w:eastAsia="宋体"/>
                <w:b w:val="0"/>
                <w:sz w:val="19"/>
              </w:rPr>
              <w:t>班级学情、诊断、干预、作业批改、互动、教研行为</w:t>
            </w:r>
          </w:p>
        </w:tc>
        <w:tc>
          <w:tcPr>
            <w:tcW w:type="dxa" w:w="3240"/>
            <w:vAlign w:val="center"/>
          </w:tcPr>
          <w:p>
            <w:r>
              <w:rPr>
                <w:rFonts w:ascii="宋体" w:hAnsi="宋体" w:eastAsia="宋体"/>
                <w:b w:val="0"/>
                <w:sz w:val="19"/>
              </w:rPr>
              <w:t>聚合教师端视图、证据下钻、教师六维画像和教学改进建议</w:t>
            </w:r>
          </w:p>
        </w:tc>
        <w:tc>
          <w:tcPr>
            <w:tcW w:type="dxa" w:w="2448"/>
            <w:vAlign w:val="center"/>
          </w:tcPr>
          <w:p>
            <w:r>
              <w:rPr>
                <w:rFonts w:ascii="宋体" w:hAnsi="宋体" w:eastAsia="宋体"/>
                <w:b w:val="0"/>
                <w:sz w:val="19"/>
              </w:rPr>
              <w:t>风险学生、薄弱知识点、教师动作建议、教师画像</w:t>
            </w:r>
          </w:p>
        </w:tc>
        <w:tc>
          <w:tcPr>
            <w:tcW w:type="dxa" w:w="2160"/>
            <w:vAlign w:val="center"/>
          </w:tcPr>
          <w:p>
            <w:r>
              <w:rPr>
                <w:rFonts w:ascii="宋体" w:hAnsi="宋体" w:eastAsia="宋体"/>
                <w:b w:val="0"/>
                <w:sz w:val="19"/>
              </w:rPr>
              <w:t>负责展示和行动入口，不替代原始评分和诊断计算。</w:t>
            </w:r>
          </w:p>
        </w:tc>
      </w:tr>
    </w:tbl>
    <w:p>
      <w:pPr>
        <w:pStyle w:val="Heading1"/>
      </w:pPr>
      <w:r>
        <w:rPr>
          <w:rFonts w:ascii="黑体" w:hAnsi="黑体" w:eastAsia="黑体"/>
          <w:b/>
          <w:sz w:val="32"/>
        </w:rPr>
        <w:t>4 数据流向设计</w:t>
      </w:r>
    </w:p>
    <w:p>
      <w:pPr>
        <w:spacing w:line="300" w:lineRule="auto"/>
        <w:ind w:firstLine="420"/>
      </w:pPr>
      <w:r>
        <w:rPr>
          <w:rFonts w:ascii="宋体" w:hAnsi="宋体" w:eastAsia="宋体"/>
          <w:b w:val="0"/>
          <w:sz w:val="21"/>
        </w:rPr>
        <w:t>系统数据流分为课程底座流、学习证据流、画像诊断流、路径干预流和教师反馈流。课程底座流从教师维护课程结构开始，经系统校验、资源绑定、能力映射和教师审核后发布。学习证据流从学生学习、测验、作业、代码题和 5E 交互产生，进入学习证据汇聚层。画像诊断流由学生数字孪生聚合状态，再由诊断智能体生成解释和建议。路径干预流由路径模块和教师智能干预模块承接，最终由学生执行并回流。教师反馈流由教师看板提供证据下钻和处理动作，必要时返回课程底座维护或干预审核。</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vAlign w:val="center"/>
          </w:tcPr>
          <w:p>
            <w:pPr>
              <w:jc w:val="center"/>
            </w:pPr>
            <w:r>
              <w:rPr>
                <w:rFonts w:ascii="宋体" w:hAnsi="宋体" w:eastAsia="宋体"/>
                <w:b/>
                <w:sz w:val="19"/>
              </w:rPr>
              <w:t>数据流</w:t>
            </w:r>
          </w:p>
        </w:tc>
        <w:tc>
          <w:tcPr>
            <w:tcW w:type="dxa" w:w="2592"/>
            <w:vAlign w:val="center"/>
          </w:tcPr>
          <w:p>
            <w:pPr>
              <w:jc w:val="center"/>
            </w:pPr>
            <w:r>
              <w:rPr>
                <w:rFonts w:ascii="宋体" w:hAnsi="宋体" w:eastAsia="宋体"/>
                <w:b/>
                <w:sz w:val="19"/>
              </w:rPr>
              <w:t>产生来源</w:t>
            </w:r>
          </w:p>
        </w:tc>
        <w:tc>
          <w:tcPr>
            <w:tcW w:type="dxa" w:w="2592"/>
            <w:vAlign w:val="center"/>
          </w:tcPr>
          <w:p>
            <w:pPr>
              <w:jc w:val="center"/>
            </w:pPr>
            <w:r>
              <w:rPr>
                <w:rFonts w:ascii="宋体" w:hAnsi="宋体" w:eastAsia="宋体"/>
                <w:b/>
                <w:sz w:val="19"/>
              </w:rPr>
              <w:t>处理节点</w:t>
            </w:r>
          </w:p>
        </w:tc>
        <w:tc>
          <w:tcPr>
            <w:tcW w:type="dxa" w:w="2736"/>
            <w:vAlign w:val="center"/>
          </w:tcPr>
          <w:p>
            <w:pPr>
              <w:jc w:val="center"/>
            </w:pPr>
            <w:r>
              <w:rPr>
                <w:rFonts w:ascii="宋体" w:hAnsi="宋体" w:eastAsia="宋体"/>
                <w:b/>
                <w:sz w:val="19"/>
              </w:rPr>
              <w:t>输出去向</w:t>
            </w:r>
          </w:p>
        </w:tc>
        <w:tc>
          <w:tcPr>
            <w:tcW w:type="dxa" w:w="2880"/>
            <w:vAlign w:val="center"/>
          </w:tcPr>
          <w:p>
            <w:pPr>
              <w:jc w:val="center"/>
            </w:pPr>
            <w:r>
              <w:rPr>
                <w:rFonts w:ascii="宋体" w:hAnsi="宋体" w:eastAsia="宋体"/>
                <w:b/>
                <w:sz w:val="19"/>
              </w:rPr>
              <w:t>控制边界</w:t>
            </w:r>
          </w:p>
        </w:tc>
      </w:tr>
      <w:tr>
        <w:tc>
          <w:tcPr>
            <w:tcW w:type="dxa" w:w="1728"/>
            <w:vAlign w:val="center"/>
          </w:tcPr>
          <w:p>
            <w:r>
              <w:rPr>
                <w:rFonts w:ascii="宋体" w:hAnsi="宋体" w:eastAsia="宋体"/>
                <w:b w:val="0"/>
                <w:sz w:val="19"/>
              </w:rPr>
              <w:t>课程底座流</w:t>
            </w:r>
          </w:p>
        </w:tc>
        <w:tc>
          <w:tcPr>
            <w:tcW w:type="dxa" w:w="2592"/>
            <w:vAlign w:val="center"/>
          </w:tcPr>
          <w:p>
            <w:r>
              <w:rPr>
                <w:rFonts w:ascii="宋体" w:hAnsi="宋体" w:eastAsia="宋体"/>
                <w:b w:val="0"/>
                <w:sz w:val="19"/>
              </w:rPr>
              <w:t>教师录入课程结构、上传资料、配置岗位方向</w:t>
            </w:r>
          </w:p>
        </w:tc>
        <w:tc>
          <w:tcPr>
            <w:tcW w:type="dxa" w:w="2592"/>
            <w:vAlign w:val="center"/>
          </w:tcPr>
          <w:p>
            <w:r>
              <w:rPr>
                <w:rFonts w:ascii="宋体" w:hAnsi="宋体" w:eastAsia="宋体"/>
                <w:b w:val="0"/>
                <w:sz w:val="19"/>
              </w:rPr>
              <w:t>课程数字孪生与资源模块</w:t>
            </w:r>
          </w:p>
        </w:tc>
        <w:tc>
          <w:tcPr>
            <w:tcW w:type="dxa" w:w="2736"/>
            <w:vAlign w:val="center"/>
          </w:tcPr>
          <w:p>
            <w:r>
              <w:rPr>
                <w:rFonts w:ascii="宋体" w:hAnsi="宋体" w:eastAsia="宋体"/>
                <w:b w:val="0"/>
                <w:sz w:val="19"/>
              </w:rPr>
              <w:t>学生学习空间、测验、作业、路径、诊断、教师看板</w:t>
            </w:r>
          </w:p>
        </w:tc>
        <w:tc>
          <w:tcPr>
            <w:tcW w:type="dxa" w:w="2880"/>
            <w:vAlign w:val="center"/>
          </w:tcPr>
          <w:p>
            <w:r>
              <w:rPr>
                <w:rFonts w:ascii="宋体" w:hAnsi="宋体" w:eastAsia="宋体"/>
                <w:b w:val="0"/>
                <w:sz w:val="19"/>
              </w:rPr>
              <w:t>仅已发布版本可被下游正式读取。</w:t>
            </w:r>
          </w:p>
        </w:tc>
      </w:tr>
      <w:tr>
        <w:tc>
          <w:tcPr>
            <w:tcW w:type="dxa" w:w="1728"/>
            <w:vAlign w:val="center"/>
          </w:tcPr>
          <w:p>
            <w:r>
              <w:rPr>
                <w:rFonts w:ascii="宋体" w:hAnsi="宋体" w:eastAsia="宋体"/>
                <w:b w:val="0"/>
                <w:sz w:val="19"/>
              </w:rPr>
              <w:t>学习证据流</w:t>
            </w:r>
          </w:p>
        </w:tc>
        <w:tc>
          <w:tcPr>
            <w:tcW w:type="dxa" w:w="2592"/>
            <w:vAlign w:val="center"/>
          </w:tcPr>
          <w:p>
            <w:r>
              <w:rPr>
                <w:rFonts w:ascii="宋体" w:hAnsi="宋体" w:eastAsia="宋体"/>
                <w:b w:val="0"/>
                <w:sz w:val="19"/>
              </w:rPr>
              <w:t>资源学习、5E 对话、在线测验、作业、代码题</w:t>
            </w:r>
          </w:p>
        </w:tc>
        <w:tc>
          <w:tcPr>
            <w:tcW w:type="dxa" w:w="2592"/>
            <w:vAlign w:val="center"/>
          </w:tcPr>
          <w:p>
            <w:r>
              <w:rPr>
                <w:rFonts w:ascii="宋体" w:hAnsi="宋体" w:eastAsia="宋体"/>
                <w:b w:val="0"/>
                <w:sz w:val="19"/>
              </w:rPr>
              <w:t>学习证据汇聚与学生数字孪生</w:t>
            </w:r>
          </w:p>
        </w:tc>
        <w:tc>
          <w:tcPr>
            <w:tcW w:type="dxa" w:w="2736"/>
            <w:vAlign w:val="center"/>
          </w:tcPr>
          <w:p>
            <w:r>
              <w:rPr>
                <w:rFonts w:ascii="宋体" w:hAnsi="宋体" w:eastAsia="宋体"/>
                <w:b w:val="0"/>
                <w:sz w:val="19"/>
              </w:rPr>
              <w:t>学生画像、诊断智能体、教师看板</w:t>
            </w:r>
          </w:p>
        </w:tc>
        <w:tc>
          <w:tcPr>
            <w:tcW w:type="dxa" w:w="2880"/>
            <w:vAlign w:val="center"/>
          </w:tcPr>
          <w:p>
            <w:r>
              <w:rPr>
                <w:rFonts w:ascii="宋体" w:hAnsi="宋体" w:eastAsia="宋体"/>
                <w:b w:val="0"/>
                <w:sz w:val="19"/>
              </w:rPr>
              <w:t>测验/作业/代码题为强证据，5E 交互为过程性辅助证据。</w:t>
            </w:r>
          </w:p>
        </w:tc>
      </w:tr>
      <w:tr>
        <w:tc>
          <w:tcPr>
            <w:tcW w:type="dxa" w:w="1728"/>
            <w:vAlign w:val="center"/>
          </w:tcPr>
          <w:p>
            <w:r>
              <w:rPr>
                <w:rFonts w:ascii="宋体" w:hAnsi="宋体" w:eastAsia="宋体"/>
                <w:b w:val="0"/>
                <w:sz w:val="19"/>
              </w:rPr>
              <w:t>画像诊断流</w:t>
            </w:r>
          </w:p>
        </w:tc>
        <w:tc>
          <w:tcPr>
            <w:tcW w:type="dxa" w:w="2592"/>
            <w:vAlign w:val="center"/>
          </w:tcPr>
          <w:p>
            <w:r>
              <w:rPr>
                <w:rFonts w:ascii="宋体" w:hAnsi="宋体" w:eastAsia="宋体"/>
                <w:b w:val="0"/>
                <w:sz w:val="19"/>
              </w:rPr>
              <w:t>学生数字孪生状态、课程底座、证据时间线</w:t>
            </w:r>
          </w:p>
        </w:tc>
        <w:tc>
          <w:tcPr>
            <w:tcW w:type="dxa" w:w="2592"/>
            <w:vAlign w:val="center"/>
          </w:tcPr>
          <w:p>
            <w:r>
              <w:rPr>
                <w:rFonts w:ascii="宋体" w:hAnsi="宋体" w:eastAsia="宋体"/>
                <w:b w:val="0"/>
                <w:sz w:val="19"/>
              </w:rPr>
              <w:t>诊断智能体</w:t>
            </w:r>
          </w:p>
        </w:tc>
        <w:tc>
          <w:tcPr>
            <w:tcW w:type="dxa" w:w="2736"/>
            <w:vAlign w:val="center"/>
          </w:tcPr>
          <w:p>
            <w:r>
              <w:rPr>
                <w:rFonts w:ascii="宋体" w:hAnsi="宋体" w:eastAsia="宋体"/>
                <w:b w:val="0"/>
                <w:sz w:val="19"/>
              </w:rPr>
              <w:t>学生端解释、教师端证据下钻、路径和干预</w:t>
            </w:r>
          </w:p>
        </w:tc>
        <w:tc>
          <w:tcPr>
            <w:tcW w:type="dxa" w:w="2880"/>
            <w:vAlign w:val="center"/>
          </w:tcPr>
          <w:p>
            <w:r>
              <w:rPr>
                <w:rFonts w:ascii="宋体" w:hAnsi="宋体" w:eastAsia="宋体"/>
                <w:b w:val="0"/>
                <w:sz w:val="19"/>
              </w:rPr>
              <w:t>证据不足时不输出强诊断，只提示补测验、补作业或完成任务。</w:t>
            </w:r>
          </w:p>
        </w:tc>
      </w:tr>
      <w:tr>
        <w:tc>
          <w:tcPr>
            <w:tcW w:type="dxa" w:w="1728"/>
            <w:vAlign w:val="center"/>
          </w:tcPr>
          <w:p>
            <w:r>
              <w:rPr>
                <w:rFonts w:ascii="宋体" w:hAnsi="宋体" w:eastAsia="宋体"/>
                <w:b w:val="0"/>
                <w:sz w:val="19"/>
              </w:rPr>
              <w:t>路径干预流</w:t>
            </w:r>
          </w:p>
        </w:tc>
        <w:tc>
          <w:tcPr>
            <w:tcW w:type="dxa" w:w="2592"/>
            <w:vAlign w:val="center"/>
          </w:tcPr>
          <w:p>
            <w:r>
              <w:rPr>
                <w:rFonts w:ascii="宋体" w:hAnsi="宋体" w:eastAsia="宋体"/>
                <w:b w:val="0"/>
                <w:sz w:val="19"/>
              </w:rPr>
              <w:t>诊断结论、教师要求、可用资源和任务</w:t>
            </w:r>
          </w:p>
        </w:tc>
        <w:tc>
          <w:tcPr>
            <w:tcW w:type="dxa" w:w="2592"/>
            <w:vAlign w:val="center"/>
          </w:tcPr>
          <w:p>
            <w:r>
              <w:rPr>
                <w:rFonts w:ascii="宋体" w:hAnsi="宋体" w:eastAsia="宋体"/>
                <w:b w:val="0"/>
                <w:sz w:val="19"/>
              </w:rPr>
              <w:t>个性化路径、教师智能干预</w:t>
            </w:r>
          </w:p>
        </w:tc>
        <w:tc>
          <w:tcPr>
            <w:tcW w:type="dxa" w:w="2736"/>
            <w:vAlign w:val="center"/>
          </w:tcPr>
          <w:p>
            <w:r>
              <w:rPr>
                <w:rFonts w:ascii="宋体" w:hAnsi="宋体" w:eastAsia="宋体"/>
                <w:b w:val="0"/>
                <w:sz w:val="19"/>
              </w:rPr>
              <w:t>学生端路径、任务包、学习空间</w:t>
            </w:r>
          </w:p>
        </w:tc>
        <w:tc>
          <w:tcPr>
            <w:tcW w:type="dxa" w:w="2880"/>
            <w:vAlign w:val="center"/>
          </w:tcPr>
          <w:p>
            <w:r>
              <w:rPr>
                <w:rFonts w:ascii="宋体" w:hAnsi="宋体" w:eastAsia="宋体"/>
                <w:b w:val="0"/>
                <w:sz w:val="19"/>
              </w:rPr>
              <w:t>正式干预必须教师审核，缺少作业时只提示教师补充或生成草稿。</w:t>
            </w:r>
          </w:p>
        </w:tc>
      </w:tr>
      <w:tr>
        <w:tc>
          <w:tcPr>
            <w:tcW w:type="dxa" w:w="1728"/>
            <w:vAlign w:val="center"/>
          </w:tcPr>
          <w:p>
            <w:r>
              <w:rPr>
                <w:rFonts w:ascii="宋体" w:hAnsi="宋体" w:eastAsia="宋体"/>
                <w:b w:val="0"/>
                <w:sz w:val="19"/>
              </w:rPr>
              <w:t>教师反馈流</w:t>
            </w:r>
          </w:p>
        </w:tc>
        <w:tc>
          <w:tcPr>
            <w:tcW w:type="dxa" w:w="2592"/>
            <w:vAlign w:val="center"/>
          </w:tcPr>
          <w:p>
            <w:r>
              <w:rPr>
                <w:rFonts w:ascii="宋体" w:hAnsi="宋体" w:eastAsia="宋体"/>
                <w:b w:val="0"/>
                <w:sz w:val="19"/>
              </w:rPr>
              <w:t>看板风险、教师处理动作、任务结果</w:t>
            </w:r>
          </w:p>
        </w:tc>
        <w:tc>
          <w:tcPr>
            <w:tcW w:type="dxa" w:w="2592"/>
            <w:vAlign w:val="center"/>
          </w:tcPr>
          <w:p>
            <w:r>
              <w:rPr>
                <w:rFonts w:ascii="宋体" w:hAnsi="宋体" w:eastAsia="宋体"/>
                <w:b w:val="0"/>
                <w:sz w:val="19"/>
              </w:rPr>
              <w:t>教师看板、教师数字孪生、课程数字孪生</w:t>
            </w:r>
          </w:p>
        </w:tc>
        <w:tc>
          <w:tcPr>
            <w:tcW w:type="dxa" w:w="2736"/>
            <w:vAlign w:val="center"/>
          </w:tcPr>
          <w:p>
            <w:r>
              <w:rPr>
                <w:rFonts w:ascii="宋体" w:hAnsi="宋体" w:eastAsia="宋体"/>
                <w:b w:val="0"/>
                <w:sz w:val="19"/>
              </w:rPr>
              <w:t>课程维护、教师画像、下一轮诊断</w:t>
            </w:r>
          </w:p>
        </w:tc>
        <w:tc>
          <w:tcPr>
            <w:tcW w:type="dxa" w:w="2880"/>
            <w:vAlign w:val="center"/>
          </w:tcPr>
          <w:p>
            <w:r>
              <w:rPr>
                <w:rFonts w:ascii="宋体" w:hAnsi="宋体" w:eastAsia="宋体"/>
                <w:b w:val="0"/>
                <w:sz w:val="19"/>
              </w:rPr>
              <w:t>课程问题回到课程底座维护，教师行为进入教师数字孪生。</w:t>
            </w:r>
          </w:p>
        </w:tc>
      </w:tr>
    </w:tbl>
    <w:p>
      <w:pPr>
        <w:pStyle w:val="Heading1"/>
      </w:pPr>
      <w:r>
        <w:rPr>
          <w:rFonts w:ascii="黑体" w:hAnsi="黑体" w:eastAsia="黑体"/>
          <w:b/>
          <w:sz w:val="32"/>
        </w:rPr>
        <w:t>5 权限边界设计</w:t>
      </w:r>
    </w:p>
    <w:p>
      <w:pPr>
        <w:spacing w:line="300" w:lineRule="auto"/>
        <w:ind w:firstLine="420"/>
      </w:pPr>
      <w:r>
        <w:rPr>
          <w:rFonts w:ascii="宋体" w:hAnsi="宋体" w:eastAsia="宋体"/>
          <w:b w:val="0"/>
          <w:sz w:val="21"/>
        </w:rPr>
        <w:t>系统以 Session Cookie 识别登录用户，前端路由通过 meta.requiresAuth 和 requiredRole 做页面级拦截，后端接口通过会话读取和角色判断做最终权限校验。权限设计以学生、教师、管理员三类角色为基础，前端展示边界和后端访问边界必须一致。</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tcPr>
          <w:p>
            <w:pPr>
              <w:jc w:val="center"/>
            </w:pPr>
            <w:r>
              <w:rPr>
                <w:rFonts w:ascii="宋体" w:hAnsi="宋体" w:eastAsia="宋体"/>
                <w:b/>
                <w:sz w:val="19"/>
              </w:rPr>
              <w:t>角色</w:t>
            </w:r>
          </w:p>
        </w:tc>
        <w:tc>
          <w:tcPr>
            <w:tcW w:type="dxa" w:w="2880"/>
            <w:vAlign w:val="center"/>
          </w:tcPr>
          <w:p>
            <w:pPr>
              <w:jc w:val="center"/>
            </w:pPr>
            <w:r>
              <w:rPr>
                <w:rFonts w:ascii="宋体" w:hAnsi="宋体" w:eastAsia="宋体"/>
                <w:b/>
                <w:sz w:val="19"/>
              </w:rPr>
              <w:t>可访问页面</w:t>
            </w:r>
          </w:p>
        </w:tc>
        <w:tc>
          <w:tcPr>
            <w:tcW w:type="dxa" w:w="3672"/>
            <w:vAlign w:val="center"/>
          </w:tcPr>
          <w:p>
            <w:pPr>
              <w:jc w:val="center"/>
            </w:pPr>
            <w:r>
              <w:rPr>
                <w:rFonts w:ascii="宋体" w:hAnsi="宋体" w:eastAsia="宋体"/>
                <w:b/>
                <w:sz w:val="19"/>
              </w:rPr>
              <w:t>可执行操作</w:t>
            </w:r>
          </w:p>
        </w:tc>
        <w:tc>
          <w:tcPr>
            <w:tcW w:type="dxa" w:w="3024"/>
            <w:vAlign w:val="center"/>
          </w:tcPr>
          <w:p>
            <w:pPr>
              <w:jc w:val="center"/>
            </w:pPr>
            <w:r>
              <w:rPr>
                <w:rFonts w:ascii="宋体" w:hAnsi="宋体" w:eastAsia="宋体"/>
                <w:b/>
                <w:sz w:val="19"/>
              </w:rPr>
              <w:t>不可见或不可执行内容</w:t>
            </w:r>
          </w:p>
        </w:tc>
      </w:tr>
      <w:tr>
        <w:tc>
          <w:tcPr>
            <w:tcW w:type="dxa" w:w="1440"/>
            <w:vAlign w:val="center"/>
          </w:tcPr>
          <w:p>
            <w:r>
              <w:rPr>
                <w:rFonts w:ascii="宋体" w:hAnsi="宋体" w:eastAsia="宋体"/>
                <w:b w:val="0"/>
                <w:sz w:val="19"/>
              </w:rPr>
              <w:t>学生</w:t>
            </w:r>
          </w:p>
        </w:tc>
        <w:tc>
          <w:tcPr>
            <w:tcW w:type="dxa" w:w="2880"/>
            <w:vAlign w:val="center"/>
          </w:tcPr>
          <w:p>
            <w:r>
              <w:rPr>
                <w:rFonts w:ascii="宋体" w:hAnsi="宋体" w:eastAsia="宋体"/>
                <w:b w:val="0"/>
                <w:sz w:val="19"/>
              </w:rPr>
              <w:t>学生首页、学习空间、课程内容、在线测验、学生数字孪生、作业、干预任务、互动、行业情报</w:t>
            </w:r>
          </w:p>
        </w:tc>
        <w:tc>
          <w:tcPr>
            <w:tcW w:type="dxa" w:w="3672"/>
            <w:vAlign w:val="center"/>
          </w:tcPr>
          <w:p>
            <w:r>
              <w:rPr>
                <w:rFonts w:ascii="宋体" w:hAnsi="宋体" w:eastAsia="宋体"/>
                <w:b w:val="0"/>
                <w:sz w:val="19"/>
              </w:rPr>
              <w:t>学习资源、触发测验、提交作业、查看个人画像和温和诊断建议、执行教师下发任务</w:t>
            </w:r>
          </w:p>
        </w:tc>
        <w:tc>
          <w:tcPr>
            <w:tcW w:type="dxa" w:w="3024"/>
            <w:vAlign w:val="center"/>
          </w:tcPr>
          <w:p>
            <w:r>
              <w:rPr>
                <w:rFonts w:ascii="宋体" w:hAnsi="宋体" w:eastAsia="宋体"/>
                <w:b w:val="0"/>
                <w:sz w:val="19"/>
              </w:rPr>
              <w:t>不能查看教师审核过程、班级风险名单、后台权重、来源证据和教师画像。</w:t>
            </w:r>
          </w:p>
        </w:tc>
      </w:tr>
      <w:tr>
        <w:tc>
          <w:tcPr>
            <w:tcW w:type="dxa" w:w="1440"/>
            <w:vAlign w:val="center"/>
          </w:tcPr>
          <w:p>
            <w:r>
              <w:rPr>
                <w:rFonts w:ascii="宋体" w:hAnsi="宋体" w:eastAsia="宋体"/>
                <w:b w:val="0"/>
                <w:sz w:val="19"/>
              </w:rPr>
              <w:t>教师</w:t>
            </w:r>
          </w:p>
        </w:tc>
        <w:tc>
          <w:tcPr>
            <w:tcW w:type="dxa" w:w="2880"/>
            <w:vAlign w:val="center"/>
          </w:tcPr>
          <w:p>
            <w:r>
              <w:rPr>
                <w:rFonts w:ascii="宋体" w:hAnsi="宋体" w:eastAsia="宋体"/>
                <w:b w:val="0"/>
                <w:sz w:val="19"/>
              </w:rPr>
              <w:t>教师看板、作业管理、干预任务、互动管理、教研记录、教师数字孪生下钻</w:t>
            </w:r>
          </w:p>
        </w:tc>
        <w:tc>
          <w:tcPr>
            <w:tcW w:type="dxa" w:w="3672"/>
            <w:vAlign w:val="center"/>
          </w:tcPr>
          <w:p>
            <w:r>
              <w:rPr>
                <w:rFonts w:ascii="宋体" w:hAnsi="宋体" w:eastAsia="宋体"/>
                <w:b w:val="0"/>
                <w:sz w:val="19"/>
              </w:rPr>
              <w:t>查看班级和学生学情、发布作业、审核任务包、下钻证据、维护教学互动和教研记录</w:t>
            </w:r>
          </w:p>
        </w:tc>
        <w:tc>
          <w:tcPr>
            <w:tcW w:type="dxa" w:w="3024"/>
            <w:vAlign w:val="center"/>
          </w:tcPr>
          <w:p>
            <w:r>
              <w:rPr>
                <w:rFonts w:ascii="宋体" w:hAnsi="宋体" w:eastAsia="宋体"/>
                <w:b w:val="0"/>
                <w:sz w:val="19"/>
              </w:rPr>
              <w:t>不能越权查看非绑定学生的个人数据，不能绕过系统权限直接改写学生原始证据。</w:t>
            </w:r>
          </w:p>
        </w:tc>
      </w:tr>
      <w:tr>
        <w:tc>
          <w:tcPr>
            <w:tcW w:type="dxa" w:w="1440"/>
            <w:vAlign w:val="center"/>
          </w:tcPr>
          <w:p>
            <w:r>
              <w:rPr>
                <w:rFonts w:ascii="宋体" w:hAnsi="宋体" w:eastAsia="宋体"/>
                <w:b w:val="0"/>
                <w:sz w:val="19"/>
              </w:rPr>
              <w:t>管理员</w:t>
            </w:r>
          </w:p>
        </w:tc>
        <w:tc>
          <w:tcPr>
            <w:tcW w:type="dxa" w:w="2880"/>
            <w:vAlign w:val="center"/>
          </w:tcPr>
          <w:p>
            <w:r>
              <w:rPr>
                <w:rFonts w:ascii="宋体" w:hAnsi="宋体" w:eastAsia="宋体"/>
                <w:b w:val="0"/>
                <w:sz w:val="19"/>
              </w:rPr>
              <w:t>管理员后台</w:t>
            </w:r>
          </w:p>
        </w:tc>
        <w:tc>
          <w:tcPr>
            <w:tcW w:type="dxa" w:w="3672"/>
            <w:vAlign w:val="center"/>
          </w:tcPr>
          <w:p>
            <w:r>
              <w:rPr>
                <w:rFonts w:ascii="宋体" w:hAnsi="宋体" w:eastAsia="宋体"/>
                <w:b w:val="0"/>
                <w:sz w:val="19"/>
              </w:rPr>
              <w:t>用户管理、系统状态、日志查看和必要配置维护</w:t>
            </w:r>
          </w:p>
        </w:tc>
        <w:tc>
          <w:tcPr>
            <w:tcW w:type="dxa" w:w="3024"/>
            <w:vAlign w:val="center"/>
          </w:tcPr>
          <w:p>
            <w:r>
              <w:rPr>
                <w:rFonts w:ascii="宋体" w:hAnsi="宋体" w:eastAsia="宋体"/>
                <w:b w:val="0"/>
                <w:sz w:val="19"/>
              </w:rPr>
              <w:t>不直接替代教师做教学审核，不面向学生展示后台配置过程。</w:t>
            </w:r>
          </w:p>
        </w:tc>
      </w:tr>
    </w:tbl>
    <w:p>
      <w:pPr>
        <w:pStyle w:val="Heading1"/>
      </w:pPr>
      <w:r>
        <w:rPr>
          <w:rFonts w:ascii="黑体" w:hAnsi="黑体" w:eastAsia="黑体"/>
          <w:b/>
          <w:sz w:val="32"/>
        </w:rPr>
        <w:t>6 核心接口边界</w:t>
      </w:r>
    </w:p>
    <w:p>
      <w:pPr>
        <w:spacing w:line="300" w:lineRule="auto"/>
        <w:ind w:firstLine="420"/>
      </w:pPr>
      <w:r>
        <w:rPr>
          <w:rFonts w:ascii="宋体" w:hAnsi="宋体" w:eastAsia="宋体"/>
          <w:b w:val="0"/>
          <w:sz w:val="21"/>
        </w:rPr>
        <w:t>接口边界按业务域划分。前端统一通过 Axios 调用后端 API，后端主应用负责挂载业务 Router。概要设计只说明接口域、典型接口和职责边界，字段结构、错误码和时序细节在详细设计中展开。</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tcPr>
          <w:p>
            <w:pPr>
              <w:jc w:val="center"/>
            </w:pPr>
            <w:r>
              <w:rPr>
                <w:rFonts w:ascii="宋体" w:hAnsi="宋体" w:eastAsia="宋体"/>
                <w:b/>
                <w:sz w:val="19"/>
              </w:rPr>
              <w:t>接口域</w:t>
            </w:r>
          </w:p>
        </w:tc>
        <w:tc>
          <w:tcPr>
            <w:tcW w:type="dxa" w:w="2592"/>
            <w:vAlign w:val="center"/>
          </w:tcPr>
          <w:p>
            <w:pPr>
              <w:jc w:val="center"/>
            </w:pPr>
            <w:r>
              <w:rPr>
                <w:rFonts w:ascii="宋体" w:hAnsi="宋体" w:eastAsia="宋体"/>
                <w:b/>
                <w:sz w:val="19"/>
              </w:rPr>
              <w:t>代码位置</w:t>
            </w:r>
          </w:p>
        </w:tc>
        <w:tc>
          <w:tcPr>
            <w:tcW w:type="dxa" w:w="3312"/>
            <w:vAlign w:val="center"/>
          </w:tcPr>
          <w:p>
            <w:pPr>
              <w:jc w:val="center"/>
            </w:pPr>
            <w:r>
              <w:rPr>
                <w:rFonts w:ascii="宋体" w:hAnsi="宋体" w:eastAsia="宋体"/>
                <w:b/>
                <w:sz w:val="19"/>
              </w:rPr>
              <w:t>典型接口</w:t>
            </w:r>
          </w:p>
        </w:tc>
        <w:tc>
          <w:tcPr>
            <w:tcW w:type="dxa" w:w="3456"/>
            <w:vAlign w:val="center"/>
          </w:tcPr>
          <w:p>
            <w:pPr>
              <w:jc w:val="center"/>
            </w:pPr>
            <w:r>
              <w:rPr>
                <w:rFonts w:ascii="宋体" w:hAnsi="宋体" w:eastAsia="宋体"/>
                <w:b/>
                <w:sz w:val="19"/>
              </w:rPr>
              <w:t>职责边界</w:t>
            </w:r>
          </w:p>
        </w:tc>
      </w:tr>
      <w:tr>
        <w:tc>
          <w:tcPr>
            <w:tcW w:type="dxa" w:w="1584"/>
            <w:vAlign w:val="center"/>
          </w:tcPr>
          <w:p>
            <w:r>
              <w:rPr>
                <w:rFonts w:ascii="宋体" w:hAnsi="宋体" w:eastAsia="宋体"/>
                <w:b w:val="0"/>
                <w:sz w:val="19"/>
              </w:rPr>
              <w:t>认证与用户</w:t>
            </w:r>
          </w:p>
        </w:tc>
        <w:tc>
          <w:tcPr>
            <w:tcW w:type="dxa" w:w="2592"/>
            <w:vAlign w:val="center"/>
          </w:tcPr>
          <w:p>
            <w:r>
              <w:rPr>
                <w:rFonts w:ascii="宋体" w:hAnsi="宋体" w:eastAsia="宋体"/>
                <w:b w:val="0"/>
                <w:sz w:val="19"/>
              </w:rPr>
              <w:t>backend/app.py</w:t>
            </w:r>
          </w:p>
        </w:tc>
        <w:tc>
          <w:tcPr>
            <w:tcW w:type="dxa" w:w="3312"/>
            <w:vAlign w:val="center"/>
          </w:tcPr>
          <w:p>
            <w:r>
              <w:rPr>
                <w:rFonts w:ascii="宋体" w:hAnsi="宋体" w:eastAsia="宋体"/>
                <w:b w:val="0"/>
                <w:sz w:val="19"/>
              </w:rPr>
              <w:t>/api/auth/login；/api/change-password；/api/current-user；/api/logout；/api/register 等</w:t>
            </w:r>
          </w:p>
        </w:tc>
        <w:tc>
          <w:tcPr>
            <w:tcW w:type="dxa" w:w="3456"/>
            <w:vAlign w:val="center"/>
          </w:tcPr>
          <w:p>
            <w:r>
              <w:rPr>
                <w:rFonts w:ascii="宋体" w:hAnsi="宋体" w:eastAsia="宋体"/>
                <w:b w:val="0"/>
                <w:sz w:val="19"/>
              </w:rPr>
              <w:t>负责登录、会话、角色识别和个人资料维护，其他业务接口只读取会话结果。</w:t>
            </w:r>
          </w:p>
        </w:tc>
      </w:tr>
      <w:tr>
        <w:tc>
          <w:tcPr>
            <w:tcW w:type="dxa" w:w="1584"/>
            <w:vAlign w:val="center"/>
          </w:tcPr>
          <w:p>
            <w:r>
              <w:rPr>
                <w:rFonts w:ascii="宋体" w:hAnsi="宋体" w:eastAsia="宋体"/>
                <w:b w:val="0"/>
                <w:sz w:val="19"/>
              </w:rPr>
              <w:t>课程与学习</w:t>
            </w:r>
          </w:p>
        </w:tc>
        <w:tc>
          <w:tcPr>
            <w:tcW w:type="dxa" w:w="2592"/>
            <w:vAlign w:val="center"/>
          </w:tcPr>
          <w:p>
            <w:r>
              <w:rPr>
                <w:rFonts w:ascii="宋体" w:hAnsi="宋体" w:eastAsia="宋体"/>
                <w:b w:val="0"/>
                <w:sz w:val="19"/>
              </w:rPr>
              <w:t>backend/app.py</w:t>
            </w:r>
          </w:p>
        </w:tc>
        <w:tc>
          <w:tcPr>
            <w:tcW w:type="dxa" w:w="3312"/>
            <w:vAlign w:val="center"/>
          </w:tcPr>
          <w:p>
            <w:r>
              <w:rPr>
                <w:rFonts w:ascii="宋体" w:hAnsi="宋体" w:eastAsia="宋体"/>
                <w:b w:val="0"/>
                <w:sz w:val="19"/>
              </w:rPr>
              <w:t>/api/graph-visualization；/api/knowledge-graph；/api/learning-activity；/api/learning-nodes；/api/learning-progress 等</w:t>
            </w:r>
          </w:p>
        </w:tc>
        <w:tc>
          <w:tcPr>
            <w:tcW w:type="dxa" w:w="3456"/>
            <w:vAlign w:val="center"/>
          </w:tcPr>
          <w:p>
            <w:r>
              <w:rPr>
                <w:rFonts w:ascii="宋体" w:hAnsi="宋体" w:eastAsia="宋体"/>
                <w:b w:val="0"/>
                <w:sz w:val="19"/>
              </w:rPr>
              <w:t>负责课程图谱读取、资源选择、学习行为记录，不直接计算诊断结论。</w:t>
            </w:r>
          </w:p>
        </w:tc>
      </w:tr>
      <w:tr>
        <w:tc>
          <w:tcPr>
            <w:tcW w:type="dxa" w:w="1584"/>
            <w:vAlign w:val="center"/>
          </w:tcPr>
          <w:p>
            <w:r>
              <w:rPr>
                <w:rFonts w:ascii="宋体" w:hAnsi="宋体" w:eastAsia="宋体"/>
                <w:b w:val="0"/>
                <w:sz w:val="19"/>
              </w:rPr>
              <w:t>测验与总结</w:t>
            </w:r>
          </w:p>
        </w:tc>
        <w:tc>
          <w:tcPr>
            <w:tcW w:type="dxa" w:w="2592"/>
            <w:vAlign w:val="center"/>
          </w:tcPr>
          <w:p>
            <w:r>
              <w:rPr>
                <w:rFonts w:ascii="宋体" w:hAnsi="宋体" w:eastAsia="宋体"/>
                <w:b w:val="0"/>
                <w:sz w:val="19"/>
              </w:rPr>
              <w:t>backend/app.py</w:t>
            </w:r>
          </w:p>
        </w:tc>
        <w:tc>
          <w:tcPr>
            <w:tcW w:type="dxa" w:w="3312"/>
            <w:vAlign w:val="center"/>
          </w:tcPr>
          <w:p>
            <w:r>
              <w:rPr>
                <w:rFonts w:ascii="宋体" w:hAnsi="宋体" w:eastAsia="宋体"/>
                <w:b w:val="0"/>
                <w:sz w:val="19"/>
              </w:rPr>
              <w:t>/api/chat；/api/quiz/answer；/api/quiz/complete；/api/quiz/start；/api/quiz/summary 等</w:t>
            </w:r>
          </w:p>
        </w:tc>
        <w:tc>
          <w:tcPr>
            <w:tcW w:type="dxa" w:w="3456"/>
            <w:vAlign w:val="center"/>
          </w:tcPr>
          <w:p>
            <w:r>
              <w:rPr>
                <w:rFonts w:ascii="宋体" w:hAnsi="宋体" w:eastAsia="宋体"/>
                <w:b w:val="0"/>
                <w:sz w:val="19"/>
              </w:rPr>
              <w:t>负责测验生成、答题、总结和测验证据回流，不替代作业评分。</w:t>
            </w:r>
          </w:p>
        </w:tc>
      </w:tr>
      <w:tr>
        <w:tc>
          <w:tcPr>
            <w:tcW w:type="dxa" w:w="1584"/>
            <w:vAlign w:val="center"/>
          </w:tcPr>
          <w:p>
            <w:r>
              <w:rPr>
                <w:rFonts w:ascii="宋体" w:hAnsi="宋体" w:eastAsia="宋体"/>
                <w:b w:val="0"/>
                <w:sz w:val="19"/>
              </w:rPr>
              <w:t>学生数字孪生</w:t>
            </w:r>
          </w:p>
        </w:tc>
        <w:tc>
          <w:tcPr>
            <w:tcW w:type="dxa" w:w="2592"/>
            <w:vAlign w:val="center"/>
          </w:tcPr>
          <w:p>
            <w:r>
              <w:rPr>
                <w:rFonts w:ascii="宋体" w:hAnsi="宋体" w:eastAsia="宋体"/>
                <w:b w:val="0"/>
                <w:sz w:val="19"/>
              </w:rPr>
              <w:t>DigitalTwinModule/digital_twin_api.py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负责画像状态与学习证据聚合，不直接生成干预任务包。</w:t>
            </w:r>
          </w:p>
        </w:tc>
      </w:tr>
      <w:tr>
        <w:tc>
          <w:tcPr>
            <w:tcW w:type="dxa" w:w="1584"/>
            <w:vAlign w:val="center"/>
          </w:tcPr>
          <w:p>
            <w:r>
              <w:rPr>
                <w:rFonts w:ascii="宋体" w:hAnsi="宋体" w:eastAsia="宋体"/>
                <w:b w:val="0"/>
                <w:sz w:val="19"/>
              </w:rPr>
              <w:t>教师看板</w:t>
            </w:r>
          </w:p>
        </w:tc>
        <w:tc>
          <w:tcPr>
            <w:tcW w:type="dxa" w:w="2592"/>
            <w:vAlign w:val="center"/>
          </w:tcPr>
          <w:p>
            <w:r>
              <w:rPr>
                <w:rFonts w:ascii="宋体" w:hAnsi="宋体" w:eastAsia="宋体"/>
                <w:b w:val="0"/>
                <w:sz w:val="19"/>
              </w:rPr>
              <w:t>DashboardModule/dashboard_api.py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负责教师端聚合展示、证据下钻和建议入口，不承担原始评分。</w:t>
            </w:r>
          </w:p>
        </w:tc>
      </w:tr>
      <w:tr>
        <w:tc>
          <w:tcPr>
            <w:tcW w:type="dxa" w:w="1584"/>
            <w:vAlign w:val="center"/>
          </w:tcPr>
          <w:p>
            <w:r>
              <w:rPr>
                <w:rFonts w:ascii="宋体" w:hAnsi="宋体" w:eastAsia="宋体"/>
                <w:b w:val="0"/>
                <w:sz w:val="19"/>
              </w:rPr>
              <w:t>作业评测</w:t>
            </w:r>
          </w:p>
        </w:tc>
        <w:tc>
          <w:tcPr>
            <w:tcW w:type="dxa" w:w="2592"/>
            <w:vAlign w:val="center"/>
          </w:tcPr>
          <w:p>
            <w:r>
              <w:rPr>
                <w:rFonts w:ascii="宋体" w:hAnsi="宋体" w:eastAsia="宋体"/>
                <w:b w:val="0"/>
                <w:sz w:val="19"/>
              </w:rPr>
              <w:t>HomeworkModule/api.py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负责作业发布、提交、判题、终审和作业证据回流。</w:t>
            </w:r>
          </w:p>
        </w:tc>
      </w:tr>
      <w:tr>
        <w:tc>
          <w:tcPr>
            <w:tcW w:type="dxa" w:w="1584"/>
            <w:vAlign w:val="center"/>
          </w:tcPr>
          <w:p>
            <w:r>
              <w:rPr>
                <w:rFonts w:ascii="宋体" w:hAnsi="宋体" w:eastAsia="宋体"/>
                <w:b w:val="0"/>
                <w:sz w:val="19"/>
              </w:rPr>
              <w:t>教师干预</w:t>
            </w:r>
          </w:p>
        </w:tc>
        <w:tc>
          <w:tcPr>
            <w:tcW w:type="dxa" w:w="2592"/>
            <w:vAlign w:val="center"/>
          </w:tcPr>
          <w:p>
            <w:r>
              <w:rPr>
                <w:rFonts w:ascii="宋体" w:hAnsi="宋体" w:eastAsia="宋体"/>
                <w:b w:val="0"/>
                <w:sz w:val="19"/>
              </w:rPr>
              <w:t>TeacherInterventionModule/api.py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负责任务包草稿、教师审核、下发和学生执行结果回流。</w:t>
            </w:r>
          </w:p>
        </w:tc>
      </w:tr>
      <w:tr>
        <w:tc>
          <w:tcPr>
            <w:tcW w:type="dxa" w:w="1584"/>
            <w:vAlign w:val="center"/>
          </w:tcPr>
          <w:p>
            <w:r>
              <w:rPr>
                <w:rFonts w:ascii="宋体" w:hAnsi="宋体" w:eastAsia="宋体"/>
                <w:b w:val="0"/>
                <w:sz w:val="19"/>
              </w:rPr>
              <w:t>5E智能体</w:t>
            </w:r>
          </w:p>
        </w:tc>
        <w:tc>
          <w:tcPr>
            <w:tcW w:type="dxa" w:w="2592"/>
            <w:vAlign w:val="center"/>
          </w:tcPr>
          <w:p>
            <w:r>
              <w:rPr>
                <w:rFonts w:ascii="宋体" w:hAnsi="宋体" w:eastAsia="宋体"/>
                <w:b w:val="0"/>
                <w:sz w:val="19"/>
              </w:rPr>
              <w:t>fiveE/apis.py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负责学生学习过程对话引导和过程证据沉淀，不直接替代测验作业评价。</w:t>
            </w:r>
          </w:p>
        </w:tc>
      </w:tr>
      <w:tr>
        <w:tc>
          <w:tcPr>
            <w:tcW w:type="dxa" w:w="1584"/>
            <w:vAlign w:val="center"/>
          </w:tcPr>
          <w:p>
            <w:r>
              <w:rPr>
                <w:rFonts w:ascii="宋体" w:hAnsi="宋体" w:eastAsia="宋体"/>
                <w:b w:val="0"/>
                <w:sz w:val="19"/>
              </w:rPr>
              <w:t>行业情报</w:t>
            </w:r>
          </w:p>
        </w:tc>
        <w:tc>
          <w:tcPr>
            <w:tcW w:type="dxa" w:w="2592"/>
            <w:vAlign w:val="center"/>
          </w:tcPr>
          <w:p>
            <w:r>
              <w:rPr>
                <w:rFonts w:ascii="宋体" w:hAnsi="宋体" w:eastAsia="宋体"/>
                <w:b w:val="0"/>
                <w:sz w:val="19"/>
              </w:rPr>
              <w:t>IndustryIntelligenceModule/api.py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负责岗位分析和能力候选，不直接修改已发布课程图谱。</w:t>
            </w:r>
          </w:p>
        </w:tc>
      </w:tr>
      <w:tr>
        <w:tc>
          <w:tcPr>
            <w:tcW w:type="dxa" w:w="1584"/>
            <w:vAlign w:val="center"/>
          </w:tcPr>
          <w:p>
            <w:r>
              <w:rPr>
                <w:rFonts w:ascii="宋体" w:hAnsi="宋体" w:eastAsia="宋体"/>
                <w:b w:val="0"/>
                <w:sz w:val="19"/>
              </w:rPr>
              <w:t>教学互动与教研</w:t>
            </w:r>
          </w:p>
        </w:tc>
        <w:tc>
          <w:tcPr>
            <w:tcW w:type="dxa" w:w="2592"/>
            <w:vAlign w:val="center"/>
          </w:tcPr>
          <w:p>
            <w:r>
              <w:rPr>
                <w:rFonts w:ascii="宋体" w:hAnsi="宋体" w:eastAsia="宋体"/>
                <w:b w:val="0"/>
                <w:sz w:val="19"/>
              </w:rPr>
              <w:t>TeachingInteractionModule/api.py / TeachingResearchModule/api.py</w:t>
            </w:r>
          </w:p>
        </w:tc>
        <w:tc>
          <w:tcPr>
            <w:tcW w:type="dxa" w:w="3312"/>
            <w:vAlign w:val="center"/>
          </w:tcPr>
          <w:p>
            <w:r>
              <w:rPr>
                <w:rFonts w:ascii="宋体" w:hAnsi="宋体" w:eastAsia="宋体"/>
                <w:b w:val="0"/>
                <w:sz w:val="19"/>
              </w:rPr>
              <w:t>见对应模块 Router</w:t>
            </w:r>
          </w:p>
        </w:tc>
        <w:tc>
          <w:tcPr>
            <w:tcW w:type="dxa" w:w="3456"/>
            <w:vAlign w:val="center"/>
          </w:tcPr>
          <w:p>
            <w:r>
              <w:rPr>
                <w:rFonts w:ascii="宋体" w:hAnsi="宋体" w:eastAsia="宋体"/>
                <w:b w:val="0"/>
                <w:sz w:val="19"/>
              </w:rPr>
              <w:t>负责公告、讨论、教研记录和互动证据，不直接生成学生画像。</w:t>
            </w:r>
          </w:p>
        </w:tc>
      </w:tr>
    </w:tbl>
    <w:p>
      <w:pPr>
        <w:pStyle w:val="Heading1"/>
      </w:pPr>
      <w:r>
        <w:rPr>
          <w:rFonts w:ascii="黑体" w:hAnsi="黑体" w:eastAsia="黑体"/>
          <w:b/>
          <w:sz w:val="32"/>
        </w:rPr>
        <w:t>7 整体页面结构</w:t>
      </w:r>
    </w:p>
    <w:p>
      <w:pPr>
        <w:spacing w:line="300" w:lineRule="auto"/>
        <w:ind w:firstLine="420"/>
      </w:pPr>
      <w:r>
        <w:rPr>
          <w:rFonts w:ascii="宋体" w:hAnsi="宋体" w:eastAsia="宋体"/>
          <w:b w:val="0"/>
          <w:sz w:val="21"/>
        </w:rPr>
        <w:t>前端页面按学生端、教师端、管理员端三套 Layout 组织，登录后根据 user_type 跳转默认首页。学生端聚焦“学什么、怎么学、哪里薄弱、下一步做什么”；教师端聚焦“谁有风险、证据是什么、该做什么、处理后有没有效果”；管理员端聚焦用户与系统运行维护。</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vAlign w:val="center"/>
          </w:tcPr>
          <w:p>
            <w:pPr>
              <w:jc w:val="center"/>
            </w:pPr>
            <w:r>
              <w:rPr>
                <w:rFonts w:ascii="宋体" w:hAnsi="宋体" w:eastAsia="宋体"/>
                <w:b/>
                <w:sz w:val="19"/>
              </w:rPr>
              <w:t>端侧</w:t>
            </w:r>
          </w:p>
        </w:tc>
        <w:tc>
          <w:tcPr>
            <w:tcW w:type="dxa" w:w="1944"/>
            <w:vAlign w:val="center"/>
          </w:tcPr>
          <w:p>
            <w:pPr>
              <w:jc w:val="center"/>
            </w:pPr>
            <w:r>
              <w:rPr>
                <w:rFonts w:ascii="宋体" w:hAnsi="宋体" w:eastAsia="宋体"/>
                <w:b/>
                <w:sz w:val="19"/>
              </w:rPr>
              <w:t>一级页面</w:t>
            </w:r>
          </w:p>
        </w:tc>
        <w:tc>
          <w:tcPr>
            <w:tcW w:type="dxa" w:w="2664"/>
            <w:vAlign w:val="center"/>
          </w:tcPr>
          <w:p>
            <w:pPr>
              <w:jc w:val="center"/>
            </w:pPr>
            <w:r>
              <w:rPr>
                <w:rFonts w:ascii="宋体" w:hAnsi="宋体" w:eastAsia="宋体"/>
                <w:b/>
                <w:sz w:val="19"/>
              </w:rPr>
              <w:t>页面路径</w:t>
            </w:r>
          </w:p>
        </w:tc>
        <w:tc>
          <w:tcPr>
            <w:tcW w:type="dxa" w:w="4320"/>
            <w:vAlign w:val="center"/>
          </w:tcPr>
          <w:p>
            <w:pPr>
              <w:jc w:val="center"/>
            </w:pPr>
            <w:r>
              <w:rPr>
                <w:rFonts w:ascii="宋体" w:hAnsi="宋体" w:eastAsia="宋体"/>
                <w:b/>
                <w:sz w:val="19"/>
              </w:rPr>
              <w:t>主要功能</w:t>
            </w:r>
          </w:p>
        </w:tc>
      </w:tr>
      <w:tr>
        <w:tc>
          <w:tcPr>
            <w:tcW w:type="dxa" w:w="1296"/>
            <w:vAlign w:val="center"/>
          </w:tcPr>
          <w:p>
            <w:r>
              <w:rPr>
                <w:rFonts w:ascii="宋体" w:hAnsi="宋体" w:eastAsia="宋体"/>
                <w:b w:val="0"/>
                <w:sz w:val="19"/>
              </w:rPr>
              <w:t>学生端</w:t>
            </w:r>
          </w:p>
        </w:tc>
        <w:tc>
          <w:tcPr>
            <w:tcW w:type="dxa" w:w="1944"/>
            <w:vAlign w:val="center"/>
          </w:tcPr>
          <w:p>
            <w:r>
              <w:rPr>
                <w:rFonts w:ascii="宋体" w:hAnsi="宋体" w:eastAsia="宋体"/>
                <w:b w:val="0"/>
                <w:sz w:val="19"/>
              </w:rPr>
              <w:t>首页</w:t>
            </w:r>
          </w:p>
        </w:tc>
        <w:tc>
          <w:tcPr>
            <w:tcW w:type="dxa" w:w="2664"/>
            <w:vAlign w:val="center"/>
          </w:tcPr>
          <w:p>
            <w:r>
              <w:rPr>
                <w:rFonts w:ascii="宋体" w:hAnsi="宋体" w:eastAsia="宋体"/>
                <w:b w:val="0"/>
                <w:sz w:val="19"/>
              </w:rPr>
              <w:t>/student/home</w:t>
            </w:r>
          </w:p>
        </w:tc>
        <w:tc>
          <w:tcPr>
            <w:tcW w:type="dxa" w:w="4320"/>
            <w:vAlign w:val="center"/>
          </w:tcPr>
          <w:p>
            <w:r>
              <w:rPr>
                <w:rFonts w:ascii="宋体" w:hAnsi="宋体" w:eastAsia="宋体"/>
                <w:b w:val="0"/>
                <w:sz w:val="19"/>
              </w:rPr>
              <w:t>学习概览、待办入口、近期状态。</w:t>
            </w:r>
          </w:p>
        </w:tc>
      </w:tr>
      <w:tr>
        <w:tc>
          <w:tcPr>
            <w:tcW w:type="dxa" w:w="1296"/>
            <w:vAlign w:val="center"/>
          </w:tcPr>
          <w:p>
            <w:r>
              <w:rPr>
                <w:rFonts w:ascii="宋体" w:hAnsi="宋体" w:eastAsia="宋体"/>
                <w:b w:val="0"/>
                <w:sz w:val="19"/>
              </w:rPr>
              <w:t>学生端</w:t>
            </w:r>
          </w:p>
        </w:tc>
        <w:tc>
          <w:tcPr>
            <w:tcW w:type="dxa" w:w="1944"/>
            <w:vAlign w:val="center"/>
          </w:tcPr>
          <w:p>
            <w:r>
              <w:rPr>
                <w:rFonts w:ascii="宋体" w:hAnsi="宋体" w:eastAsia="宋体"/>
                <w:b w:val="0"/>
                <w:sz w:val="19"/>
              </w:rPr>
              <w:t>我的学习 / 课程内容</w:t>
            </w:r>
          </w:p>
        </w:tc>
        <w:tc>
          <w:tcPr>
            <w:tcW w:type="dxa" w:w="2664"/>
            <w:vAlign w:val="center"/>
          </w:tcPr>
          <w:p>
            <w:r>
              <w:rPr>
                <w:rFonts w:ascii="宋体" w:hAnsi="宋体" w:eastAsia="宋体"/>
                <w:b w:val="0"/>
                <w:sz w:val="19"/>
              </w:rPr>
              <w:t>/student/learning、/student/course-content</w:t>
            </w:r>
          </w:p>
        </w:tc>
        <w:tc>
          <w:tcPr>
            <w:tcW w:type="dxa" w:w="4320"/>
            <w:vAlign w:val="center"/>
          </w:tcPr>
          <w:p>
            <w:r>
              <w:rPr>
                <w:rFonts w:ascii="宋体" w:hAnsi="宋体" w:eastAsia="宋体"/>
                <w:b w:val="0"/>
                <w:sz w:val="19"/>
              </w:rPr>
              <w:t>课程资源、课程图谱、学习进度、课程对话。</w:t>
            </w:r>
          </w:p>
        </w:tc>
      </w:tr>
      <w:tr>
        <w:tc>
          <w:tcPr>
            <w:tcW w:type="dxa" w:w="1296"/>
            <w:vAlign w:val="center"/>
          </w:tcPr>
          <w:p>
            <w:r>
              <w:rPr>
                <w:rFonts w:ascii="宋体" w:hAnsi="宋体" w:eastAsia="宋体"/>
                <w:b w:val="0"/>
                <w:sz w:val="19"/>
              </w:rPr>
              <w:t>学生端</w:t>
            </w:r>
          </w:p>
        </w:tc>
        <w:tc>
          <w:tcPr>
            <w:tcW w:type="dxa" w:w="1944"/>
            <w:vAlign w:val="center"/>
          </w:tcPr>
          <w:p>
            <w:r>
              <w:rPr>
                <w:rFonts w:ascii="宋体" w:hAnsi="宋体" w:eastAsia="宋体"/>
                <w:b w:val="0"/>
                <w:sz w:val="19"/>
              </w:rPr>
              <w:t>在线测验</w:t>
            </w:r>
          </w:p>
        </w:tc>
        <w:tc>
          <w:tcPr>
            <w:tcW w:type="dxa" w:w="2664"/>
            <w:vAlign w:val="center"/>
          </w:tcPr>
          <w:p>
            <w:r>
              <w:rPr>
                <w:rFonts w:ascii="宋体" w:hAnsi="宋体" w:eastAsia="宋体"/>
                <w:b w:val="0"/>
                <w:sz w:val="19"/>
              </w:rPr>
              <w:t>/student/quiz</w:t>
            </w:r>
          </w:p>
        </w:tc>
        <w:tc>
          <w:tcPr>
            <w:tcW w:type="dxa" w:w="4320"/>
            <w:vAlign w:val="center"/>
          </w:tcPr>
          <w:p>
            <w:r>
              <w:rPr>
                <w:rFonts w:ascii="宋体" w:hAnsi="宋体" w:eastAsia="宋体"/>
                <w:b w:val="0"/>
                <w:sz w:val="19"/>
              </w:rPr>
              <w:t>按知识点触发测验、答题、查看反馈并回流证据。</w:t>
            </w:r>
          </w:p>
        </w:tc>
      </w:tr>
      <w:tr>
        <w:tc>
          <w:tcPr>
            <w:tcW w:type="dxa" w:w="1296"/>
            <w:vAlign w:val="center"/>
          </w:tcPr>
          <w:p>
            <w:r>
              <w:rPr>
                <w:rFonts w:ascii="宋体" w:hAnsi="宋体" w:eastAsia="宋体"/>
                <w:b w:val="0"/>
                <w:sz w:val="19"/>
              </w:rPr>
              <w:t>学生端</w:t>
            </w:r>
          </w:p>
        </w:tc>
        <w:tc>
          <w:tcPr>
            <w:tcW w:type="dxa" w:w="1944"/>
            <w:vAlign w:val="center"/>
          </w:tcPr>
          <w:p>
            <w:r>
              <w:rPr>
                <w:rFonts w:ascii="宋体" w:hAnsi="宋体" w:eastAsia="宋体"/>
                <w:b w:val="0"/>
                <w:sz w:val="19"/>
              </w:rPr>
              <w:t>学生数字孪生</w:t>
            </w:r>
          </w:p>
        </w:tc>
        <w:tc>
          <w:tcPr>
            <w:tcW w:type="dxa" w:w="2664"/>
            <w:vAlign w:val="center"/>
          </w:tcPr>
          <w:p>
            <w:r>
              <w:rPr>
                <w:rFonts w:ascii="宋体" w:hAnsi="宋体" w:eastAsia="宋体"/>
                <w:b w:val="0"/>
                <w:sz w:val="19"/>
              </w:rPr>
              <w:t>/student/student-twin</w:t>
            </w:r>
          </w:p>
        </w:tc>
        <w:tc>
          <w:tcPr>
            <w:tcW w:type="dxa" w:w="4320"/>
            <w:vAlign w:val="center"/>
          </w:tcPr>
          <w:p>
            <w:r>
              <w:rPr>
                <w:rFonts w:ascii="宋体" w:hAnsi="宋体" w:eastAsia="宋体"/>
                <w:b w:val="0"/>
                <w:sz w:val="19"/>
              </w:rPr>
              <w:t>个人画像、薄弱点、掌握状态、职业能力达成等级。</w:t>
            </w:r>
          </w:p>
        </w:tc>
      </w:tr>
      <w:tr>
        <w:tc>
          <w:tcPr>
            <w:tcW w:type="dxa" w:w="1296"/>
            <w:vAlign w:val="center"/>
          </w:tcPr>
          <w:p>
            <w:r>
              <w:rPr>
                <w:rFonts w:ascii="宋体" w:hAnsi="宋体" w:eastAsia="宋体"/>
                <w:b w:val="0"/>
                <w:sz w:val="19"/>
              </w:rPr>
              <w:t>学生端</w:t>
            </w:r>
          </w:p>
        </w:tc>
        <w:tc>
          <w:tcPr>
            <w:tcW w:type="dxa" w:w="1944"/>
            <w:vAlign w:val="center"/>
          </w:tcPr>
          <w:p>
            <w:r>
              <w:rPr>
                <w:rFonts w:ascii="宋体" w:hAnsi="宋体" w:eastAsia="宋体"/>
                <w:b w:val="0"/>
                <w:sz w:val="19"/>
              </w:rPr>
              <w:t>作业与干预</w:t>
            </w:r>
          </w:p>
        </w:tc>
        <w:tc>
          <w:tcPr>
            <w:tcW w:type="dxa" w:w="2664"/>
            <w:vAlign w:val="center"/>
          </w:tcPr>
          <w:p>
            <w:r>
              <w:rPr>
                <w:rFonts w:ascii="宋体" w:hAnsi="宋体" w:eastAsia="宋体"/>
                <w:b w:val="0"/>
                <w:sz w:val="19"/>
              </w:rPr>
              <w:t>/student/homework、/student/intervention</w:t>
            </w:r>
          </w:p>
        </w:tc>
        <w:tc>
          <w:tcPr>
            <w:tcW w:type="dxa" w:w="4320"/>
            <w:vAlign w:val="center"/>
          </w:tcPr>
          <w:p>
            <w:r>
              <w:rPr>
                <w:rFonts w:ascii="宋体" w:hAnsi="宋体" w:eastAsia="宋体"/>
                <w:b w:val="0"/>
                <w:sz w:val="19"/>
              </w:rPr>
              <w:t>查看和完成作业、执行教师下发的干预任务包。</w:t>
            </w:r>
          </w:p>
        </w:tc>
      </w:tr>
      <w:tr>
        <w:tc>
          <w:tcPr>
            <w:tcW w:type="dxa" w:w="1296"/>
            <w:vAlign w:val="center"/>
          </w:tcPr>
          <w:p>
            <w:r>
              <w:rPr>
                <w:rFonts w:ascii="宋体" w:hAnsi="宋体" w:eastAsia="宋体"/>
                <w:b w:val="0"/>
                <w:sz w:val="19"/>
              </w:rPr>
              <w:t>教师端</w:t>
            </w:r>
          </w:p>
        </w:tc>
        <w:tc>
          <w:tcPr>
            <w:tcW w:type="dxa" w:w="1944"/>
            <w:vAlign w:val="center"/>
          </w:tcPr>
          <w:p>
            <w:r>
              <w:rPr>
                <w:rFonts w:ascii="宋体" w:hAnsi="宋体" w:eastAsia="宋体"/>
                <w:b w:val="0"/>
                <w:sz w:val="19"/>
              </w:rPr>
              <w:t>教师看板</w:t>
            </w:r>
          </w:p>
        </w:tc>
        <w:tc>
          <w:tcPr>
            <w:tcW w:type="dxa" w:w="2664"/>
            <w:vAlign w:val="center"/>
          </w:tcPr>
          <w:p>
            <w:r>
              <w:rPr>
                <w:rFonts w:ascii="宋体" w:hAnsi="宋体" w:eastAsia="宋体"/>
                <w:b w:val="0"/>
                <w:sz w:val="19"/>
              </w:rPr>
              <w:t>/teacher/dashboard</w:t>
            </w:r>
          </w:p>
        </w:tc>
        <w:tc>
          <w:tcPr>
            <w:tcW w:type="dxa" w:w="4320"/>
            <w:vAlign w:val="center"/>
          </w:tcPr>
          <w:p>
            <w:r>
              <w:rPr>
                <w:rFonts w:ascii="宋体" w:hAnsi="宋体" w:eastAsia="宋体"/>
                <w:b w:val="0"/>
                <w:sz w:val="19"/>
              </w:rPr>
              <w:t>班级学情、薄弱知识点、风险学生、教师动作建议。</w:t>
            </w:r>
          </w:p>
        </w:tc>
      </w:tr>
      <w:tr>
        <w:tc>
          <w:tcPr>
            <w:tcW w:type="dxa" w:w="1296"/>
            <w:vAlign w:val="center"/>
          </w:tcPr>
          <w:p>
            <w:r>
              <w:rPr>
                <w:rFonts w:ascii="宋体" w:hAnsi="宋体" w:eastAsia="宋体"/>
                <w:b w:val="0"/>
                <w:sz w:val="19"/>
              </w:rPr>
              <w:t>教师端</w:t>
            </w:r>
          </w:p>
        </w:tc>
        <w:tc>
          <w:tcPr>
            <w:tcW w:type="dxa" w:w="1944"/>
            <w:vAlign w:val="center"/>
          </w:tcPr>
          <w:p>
            <w:r>
              <w:rPr>
                <w:rFonts w:ascii="宋体" w:hAnsi="宋体" w:eastAsia="宋体"/>
                <w:b w:val="0"/>
                <w:sz w:val="19"/>
              </w:rPr>
              <w:t>作业管理</w:t>
            </w:r>
          </w:p>
        </w:tc>
        <w:tc>
          <w:tcPr>
            <w:tcW w:type="dxa" w:w="2664"/>
            <w:vAlign w:val="center"/>
          </w:tcPr>
          <w:p>
            <w:r>
              <w:rPr>
                <w:rFonts w:ascii="宋体" w:hAnsi="宋体" w:eastAsia="宋体"/>
                <w:b w:val="0"/>
                <w:sz w:val="19"/>
              </w:rPr>
              <w:t>/teacher/homework</w:t>
            </w:r>
          </w:p>
        </w:tc>
        <w:tc>
          <w:tcPr>
            <w:tcW w:type="dxa" w:w="4320"/>
            <w:vAlign w:val="center"/>
          </w:tcPr>
          <w:p>
            <w:r>
              <w:rPr>
                <w:rFonts w:ascii="宋体" w:hAnsi="宋体" w:eastAsia="宋体"/>
                <w:b w:val="0"/>
                <w:sz w:val="19"/>
              </w:rPr>
              <w:t>创建、发布、查看提交、终审评分和证据回流。</w:t>
            </w:r>
          </w:p>
        </w:tc>
      </w:tr>
      <w:tr>
        <w:tc>
          <w:tcPr>
            <w:tcW w:type="dxa" w:w="1296"/>
            <w:vAlign w:val="center"/>
          </w:tcPr>
          <w:p>
            <w:r>
              <w:rPr>
                <w:rFonts w:ascii="宋体" w:hAnsi="宋体" w:eastAsia="宋体"/>
                <w:b w:val="0"/>
                <w:sz w:val="19"/>
              </w:rPr>
              <w:t>教师端</w:t>
            </w:r>
          </w:p>
        </w:tc>
        <w:tc>
          <w:tcPr>
            <w:tcW w:type="dxa" w:w="1944"/>
            <w:vAlign w:val="center"/>
          </w:tcPr>
          <w:p>
            <w:r>
              <w:rPr>
                <w:rFonts w:ascii="宋体" w:hAnsi="宋体" w:eastAsia="宋体"/>
                <w:b w:val="0"/>
                <w:sz w:val="19"/>
              </w:rPr>
              <w:t>智能干预</w:t>
            </w:r>
          </w:p>
        </w:tc>
        <w:tc>
          <w:tcPr>
            <w:tcW w:type="dxa" w:w="2664"/>
            <w:vAlign w:val="center"/>
          </w:tcPr>
          <w:p>
            <w:r>
              <w:rPr>
                <w:rFonts w:ascii="宋体" w:hAnsi="宋体" w:eastAsia="宋体"/>
                <w:b w:val="0"/>
                <w:sz w:val="19"/>
              </w:rPr>
              <w:t>/teacher/intervention</w:t>
            </w:r>
          </w:p>
        </w:tc>
        <w:tc>
          <w:tcPr>
            <w:tcW w:type="dxa" w:w="4320"/>
            <w:vAlign w:val="center"/>
          </w:tcPr>
          <w:p>
            <w:r>
              <w:rPr>
                <w:rFonts w:ascii="宋体" w:hAnsi="宋体" w:eastAsia="宋体"/>
                <w:b w:val="0"/>
                <w:sz w:val="19"/>
              </w:rPr>
              <w:t>生成草稿、审核任务包、下发并跟踪学生完成情况。</w:t>
            </w:r>
          </w:p>
        </w:tc>
      </w:tr>
      <w:tr>
        <w:tc>
          <w:tcPr>
            <w:tcW w:type="dxa" w:w="1296"/>
            <w:vAlign w:val="center"/>
          </w:tcPr>
          <w:p>
            <w:r>
              <w:rPr>
                <w:rFonts w:ascii="宋体" w:hAnsi="宋体" w:eastAsia="宋体"/>
                <w:b w:val="0"/>
                <w:sz w:val="19"/>
              </w:rPr>
              <w:t>教师端</w:t>
            </w:r>
          </w:p>
        </w:tc>
        <w:tc>
          <w:tcPr>
            <w:tcW w:type="dxa" w:w="1944"/>
            <w:vAlign w:val="center"/>
          </w:tcPr>
          <w:p>
            <w:r>
              <w:rPr>
                <w:rFonts w:ascii="宋体" w:hAnsi="宋体" w:eastAsia="宋体"/>
                <w:b w:val="0"/>
                <w:sz w:val="19"/>
              </w:rPr>
              <w:t>互动与教研</w:t>
            </w:r>
          </w:p>
        </w:tc>
        <w:tc>
          <w:tcPr>
            <w:tcW w:type="dxa" w:w="2664"/>
            <w:vAlign w:val="center"/>
          </w:tcPr>
          <w:p>
            <w:r>
              <w:rPr>
                <w:rFonts w:ascii="宋体" w:hAnsi="宋体" w:eastAsia="宋体"/>
                <w:b w:val="0"/>
                <w:sz w:val="19"/>
              </w:rPr>
              <w:t>/teacher/interaction、/teacher/research</w:t>
            </w:r>
          </w:p>
        </w:tc>
        <w:tc>
          <w:tcPr>
            <w:tcW w:type="dxa" w:w="4320"/>
            <w:vAlign w:val="center"/>
          </w:tcPr>
          <w:p>
            <w:r>
              <w:rPr>
                <w:rFonts w:ascii="宋体" w:hAnsi="宋体" w:eastAsia="宋体"/>
                <w:b w:val="0"/>
                <w:sz w:val="19"/>
              </w:rPr>
              <w:t>发布公告、讨论、教研记录和教学支持证据沉淀。</w:t>
            </w:r>
          </w:p>
        </w:tc>
      </w:tr>
      <w:tr>
        <w:tc>
          <w:tcPr>
            <w:tcW w:type="dxa" w:w="1296"/>
            <w:vAlign w:val="center"/>
          </w:tcPr>
          <w:p>
            <w:r>
              <w:rPr>
                <w:rFonts w:ascii="宋体" w:hAnsi="宋体" w:eastAsia="宋体"/>
                <w:b w:val="0"/>
                <w:sz w:val="19"/>
              </w:rPr>
              <w:t>教师端</w:t>
            </w:r>
          </w:p>
        </w:tc>
        <w:tc>
          <w:tcPr>
            <w:tcW w:type="dxa" w:w="1944"/>
            <w:vAlign w:val="center"/>
          </w:tcPr>
          <w:p>
            <w:r>
              <w:rPr>
                <w:rFonts w:ascii="宋体" w:hAnsi="宋体" w:eastAsia="宋体"/>
                <w:b w:val="0"/>
                <w:sz w:val="19"/>
              </w:rPr>
              <w:t>教师数字孪生下钻</w:t>
            </w:r>
          </w:p>
        </w:tc>
        <w:tc>
          <w:tcPr>
            <w:tcW w:type="dxa" w:w="2664"/>
            <w:vAlign w:val="center"/>
          </w:tcPr>
          <w:p>
            <w:r>
              <w:rPr>
                <w:rFonts w:ascii="宋体" w:hAnsi="宋体" w:eastAsia="宋体"/>
                <w:b w:val="0"/>
                <w:sz w:val="19"/>
              </w:rPr>
              <w:t>/teacher/teacher-twin/drilldown</w:t>
            </w:r>
          </w:p>
        </w:tc>
        <w:tc>
          <w:tcPr>
            <w:tcW w:type="dxa" w:w="4320"/>
            <w:vAlign w:val="center"/>
          </w:tcPr>
          <w:p>
            <w:r>
              <w:rPr>
                <w:rFonts w:ascii="宋体" w:hAnsi="宋体" w:eastAsia="宋体"/>
                <w:b w:val="0"/>
                <w:sz w:val="19"/>
              </w:rPr>
              <w:t>六维画像、证据时间线和教学改进建议。</w:t>
            </w:r>
          </w:p>
        </w:tc>
      </w:tr>
      <w:tr>
        <w:tc>
          <w:tcPr>
            <w:tcW w:type="dxa" w:w="1296"/>
            <w:vAlign w:val="center"/>
          </w:tcPr>
          <w:p>
            <w:r>
              <w:rPr>
                <w:rFonts w:ascii="宋体" w:hAnsi="宋体" w:eastAsia="宋体"/>
                <w:b w:val="0"/>
                <w:sz w:val="19"/>
              </w:rPr>
              <w:t>管理员端</w:t>
            </w:r>
          </w:p>
        </w:tc>
        <w:tc>
          <w:tcPr>
            <w:tcW w:type="dxa" w:w="1944"/>
            <w:vAlign w:val="center"/>
          </w:tcPr>
          <w:p>
            <w:r>
              <w:rPr>
                <w:rFonts w:ascii="宋体" w:hAnsi="宋体" w:eastAsia="宋体"/>
                <w:b w:val="0"/>
                <w:sz w:val="19"/>
              </w:rPr>
              <w:t>管理后台</w:t>
            </w:r>
          </w:p>
        </w:tc>
        <w:tc>
          <w:tcPr>
            <w:tcW w:type="dxa" w:w="2664"/>
            <w:vAlign w:val="center"/>
          </w:tcPr>
          <w:p>
            <w:r>
              <w:rPr>
                <w:rFonts w:ascii="宋体" w:hAnsi="宋体" w:eastAsia="宋体"/>
                <w:b w:val="0"/>
                <w:sz w:val="19"/>
              </w:rPr>
              <w:t>/admin/dashboard</w:t>
            </w:r>
          </w:p>
        </w:tc>
        <w:tc>
          <w:tcPr>
            <w:tcW w:type="dxa" w:w="4320"/>
            <w:vAlign w:val="center"/>
          </w:tcPr>
          <w:p>
            <w:r>
              <w:rPr>
                <w:rFonts w:ascii="宋体" w:hAnsi="宋体" w:eastAsia="宋体"/>
                <w:b w:val="0"/>
                <w:sz w:val="19"/>
              </w:rPr>
              <w:t>用户、系统运行状态和必要日志维护。</w:t>
            </w:r>
          </w:p>
        </w:tc>
      </w:tr>
    </w:tbl>
    <w:p>
      <w:pPr>
        <w:pStyle w:val="Heading1"/>
      </w:pPr>
      <w:r>
        <w:rPr>
          <w:rFonts w:ascii="黑体" w:hAnsi="黑体" w:eastAsia="黑体"/>
          <w:b/>
          <w:sz w:val="32"/>
        </w:rPr>
        <w:t>8 非功能与设计约束</w:t>
      </w:r>
    </w:p>
    <w:tbl>
      <w:tblPr>
        <w:tblStyle w:val="TableGrid"/>
        <w:tblW w:type="auto" w:w="0"/>
        <w:jc w:val="center"/>
        <w:tblLook w:firstColumn="1" w:firstRow="1" w:lastColumn="0" w:lastRow="0" w:noHBand="0" w:noVBand="1" w:val="04A0"/>
      </w:tblPr>
      <w:tblGrid>
        <w:gridCol w:w="4968"/>
        <w:gridCol w:w="4968"/>
      </w:tblGrid>
      <w:tr>
        <w:tc>
          <w:tcPr>
            <w:tcW w:type="dxa" w:w="1728"/>
            <w:vAlign w:val="center"/>
          </w:tcPr>
          <w:p>
            <w:pPr>
              <w:jc w:val="center"/>
            </w:pPr>
            <w:r>
              <w:rPr>
                <w:rFonts w:ascii="宋体" w:hAnsi="宋体" w:eastAsia="宋体"/>
                <w:b/>
                <w:sz w:val="19"/>
              </w:rPr>
              <w:t>类别</w:t>
            </w:r>
          </w:p>
        </w:tc>
        <w:tc>
          <w:tcPr>
            <w:tcW w:type="dxa" w:w="8640"/>
            <w:vAlign w:val="center"/>
          </w:tcPr>
          <w:p>
            <w:pPr>
              <w:jc w:val="center"/>
            </w:pPr>
            <w:r>
              <w:rPr>
                <w:rFonts w:ascii="宋体" w:hAnsi="宋体" w:eastAsia="宋体"/>
                <w:b/>
                <w:sz w:val="19"/>
              </w:rPr>
              <w:t>设计要求</w:t>
            </w:r>
          </w:p>
        </w:tc>
      </w:tr>
      <w:tr>
        <w:tc>
          <w:tcPr>
            <w:tcW w:type="dxa" w:w="1728"/>
            <w:vAlign w:val="center"/>
          </w:tcPr>
          <w:p>
            <w:r>
              <w:rPr>
                <w:rFonts w:ascii="宋体" w:hAnsi="宋体" w:eastAsia="宋体"/>
                <w:b w:val="0"/>
                <w:sz w:val="19"/>
              </w:rPr>
              <w:t>安全性</w:t>
            </w:r>
          </w:p>
        </w:tc>
        <w:tc>
          <w:tcPr>
            <w:tcW w:type="dxa" w:w="8640"/>
            <w:vAlign w:val="center"/>
          </w:tcPr>
          <w:p>
            <w:r>
              <w:rPr>
                <w:rFonts w:ascii="宋体" w:hAnsi="宋体" w:eastAsia="宋体"/>
                <w:b w:val="0"/>
                <w:sz w:val="19"/>
              </w:rPr>
              <w:t>所有敏感业务接口必须以后端会话和角色校验为准；学生端不得展示教师审核过程、后台权重和完整风险标签。</w:t>
            </w:r>
          </w:p>
        </w:tc>
      </w:tr>
      <w:tr>
        <w:tc>
          <w:tcPr>
            <w:tcW w:type="dxa" w:w="1728"/>
            <w:vAlign w:val="center"/>
          </w:tcPr>
          <w:p>
            <w:r>
              <w:rPr>
                <w:rFonts w:ascii="宋体" w:hAnsi="宋体" w:eastAsia="宋体"/>
                <w:b w:val="0"/>
                <w:sz w:val="19"/>
              </w:rPr>
              <w:t>可维护性</w:t>
            </w:r>
          </w:p>
        </w:tc>
        <w:tc>
          <w:tcPr>
            <w:tcW w:type="dxa" w:w="8640"/>
            <w:vAlign w:val="center"/>
          </w:tcPr>
          <w:p>
            <w:r>
              <w:rPr>
                <w:rFonts w:ascii="宋体" w:hAnsi="宋体" w:eastAsia="宋体"/>
                <w:b w:val="0"/>
                <w:sz w:val="19"/>
              </w:rPr>
              <w:t>业务模块通过 Router、service、repository 或 store 分层组织，新增能力优先接入已有模块边界。</w:t>
            </w:r>
          </w:p>
        </w:tc>
      </w:tr>
      <w:tr>
        <w:tc>
          <w:tcPr>
            <w:tcW w:type="dxa" w:w="1728"/>
            <w:vAlign w:val="center"/>
          </w:tcPr>
          <w:p>
            <w:r>
              <w:rPr>
                <w:rFonts w:ascii="宋体" w:hAnsi="宋体" w:eastAsia="宋体"/>
                <w:b w:val="0"/>
                <w:sz w:val="19"/>
              </w:rPr>
              <w:t>可追溯性</w:t>
            </w:r>
          </w:p>
        </w:tc>
        <w:tc>
          <w:tcPr>
            <w:tcW w:type="dxa" w:w="8640"/>
            <w:vAlign w:val="center"/>
          </w:tcPr>
          <w:p>
            <w:r>
              <w:rPr>
                <w:rFonts w:ascii="宋体" w:hAnsi="宋体" w:eastAsia="宋体"/>
                <w:b w:val="0"/>
                <w:sz w:val="19"/>
              </w:rPr>
              <w:t>画像、诊断、路径、干预和教师看板中的关键结论需要保留证据来源或证据时间线。</w:t>
            </w:r>
          </w:p>
        </w:tc>
      </w:tr>
      <w:tr>
        <w:tc>
          <w:tcPr>
            <w:tcW w:type="dxa" w:w="1728"/>
            <w:vAlign w:val="center"/>
          </w:tcPr>
          <w:p>
            <w:r>
              <w:rPr>
                <w:rFonts w:ascii="宋体" w:hAnsi="宋体" w:eastAsia="宋体"/>
                <w:b w:val="0"/>
                <w:sz w:val="19"/>
              </w:rPr>
              <w:t>可扩展性</w:t>
            </w:r>
          </w:p>
        </w:tc>
        <w:tc>
          <w:tcPr>
            <w:tcW w:type="dxa" w:w="8640"/>
            <w:vAlign w:val="center"/>
          </w:tcPr>
          <w:p>
            <w:r>
              <w:rPr>
                <w:rFonts w:ascii="宋体" w:hAnsi="宋体" w:eastAsia="宋体"/>
                <w:b w:val="0"/>
                <w:sz w:val="19"/>
              </w:rPr>
              <w:t>AI 输出统一按候选、草稿或辅助证据处理，教师确认后才进入正式教学发布链路。</w:t>
            </w:r>
          </w:p>
        </w:tc>
      </w:tr>
      <w:tr>
        <w:tc>
          <w:tcPr>
            <w:tcW w:type="dxa" w:w="1728"/>
            <w:vAlign w:val="center"/>
          </w:tcPr>
          <w:p>
            <w:r>
              <w:rPr>
                <w:rFonts w:ascii="宋体" w:hAnsi="宋体" w:eastAsia="宋体"/>
                <w:b w:val="0"/>
                <w:sz w:val="19"/>
              </w:rPr>
              <w:t>一致性</w:t>
            </w:r>
          </w:p>
        </w:tc>
        <w:tc>
          <w:tcPr>
            <w:tcW w:type="dxa" w:w="8640"/>
            <w:vAlign w:val="center"/>
          </w:tcPr>
          <w:p>
            <w:r>
              <w:rPr>
                <w:rFonts w:ascii="宋体" w:hAnsi="宋体" w:eastAsia="宋体"/>
                <w:b w:val="0"/>
                <w:sz w:val="19"/>
              </w:rPr>
              <w:t>课程图谱、资源关系、能力映射、任务和学习证据必须围绕已发布课程底座组织，避免多套口径并存。</w:t>
            </w:r>
          </w:p>
        </w:tc>
      </w:tr>
    </w:tbl>
    <w:p>
      <w:pPr>
        <w:pStyle w:val="Heading1"/>
      </w:pPr>
      <w:r>
        <w:rPr>
          <w:rFonts w:ascii="黑体" w:hAnsi="黑体" w:eastAsia="黑体"/>
          <w:b/>
          <w:sz w:val="32"/>
        </w:rPr>
        <w:t>9 交付物清单</w:t>
      </w:r>
    </w:p>
    <w:tbl>
      <w:tblPr>
        <w:tblStyle w:val="TableGrid"/>
        <w:tblW w:type="auto" w:w="0"/>
        <w:jc w:val="center"/>
        <w:tblLook w:firstColumn="1" w:firstRow="1" w:lastColumn="0" w:lastRow="0" w:noHBand="0" w:noVBand="1" w:val="04A0"/>
      </w:tblPr>
      <w:tblGrid>
        <w:gridCol w:w="4968"/>
        <w:gridCol w:w="4968"/>
      </w:tblGrid>
      <w:tr>
        <w:tc>
          <w:tcPr>
            <w:tcW w:type="dxa" w:w="2160"/>
            <w:vAlign w:val="center"/>
          </w:tcPr>
          <w:p>
            <w:pPr>
              <w:jc w:val="center"/>
            </w:pPr>
            <w:r>
              <w:rPr>
                <w:rFonts w:ascii="宋体" w:hAnsi="宋体" w:eastAsia="宋体"/>
                <w:b/>
                <w:sz w:val="19"/>
              </w:rPr>
              <w:t>交付物</w:t>
            </w:r>
          </w:p>
        </w:tc>
        <w:tc>
          <w:tcPr>
            <w:tcW w:type="dxa" w:w="8352"/>
            <w:vAlign w:val="center"/>
          </w:tcPr>
          <w:p>
            <w:pPr>
              <w:jc w:val="center"/>
            </w:pPr>
            <w:r>
              <w:rPr>
                <w:rFonts w:ascii="宋体" w:hAnsi="宋体" w:eastAsia="宋体"/>
                <w:b/>
                <w:sz w:val="19"/>
              </w:rPr>
              <w:t>路径</w:t>
            </w:r>
          </w:p>
        </w:tc>
      </w:tr>
      <w:tr>
        <w:tc>
          <w:tcPr>
            <w:tcW w:type="dxa" w:w="2160"/>
            <w:vAlign w:val="center"/>
          </w:tcPr>
          <w:p>
            <w:r>
              <w:rPr>
                <w:rFonts w:ascii="宋体" w:hAnsi="宋体" w:eastAsia="宋体"/>
                <w:b w:val="0"/>
                <w:sz w:val="19"/>
              </w:rPr>
              <w:t>概要设计文档</w:t>
            </w:r>
          </w:p>
        </w:tc>
        <w:tc>
          <w:tcPr>
            <w:tcW w:type="dxa" w:w="8352"/>
            <w:vAlign w:val="center"/>
          </w:tcPr>
          <w:p>
            <w:r>
              <w:rPr>
                <w:rFonts w:ascii="宋体" w:hAnsi="宋体" w:eastAsia="宋体"/>
                <w:b w:val="0"/>
                <w:sz w:val="19"/>
              </w:rPr>
              <w:t>D:\pythonFile\AI-Education2\docs\概要设计\AI-Education系统概要设计说明书-2026-06-27.docx</w:t>
            </w:r>
          </w:p>
        </w:tc>
      </w:tr>
      <w:tr>
        <w:tc>
          <w:tcPr>
            <w:tcW w:type="dxa" w:w="2160"/>
            <w:vAlign w:val="center"/>
          </w:tcPr>
          <w:p>
            <w:r>
              <w:rPr>
                <w:rFonts w:ascii="宋体" w:hAnsi="宋体" w:eastAsia="宋体"/>
                <w:b w:val="0"/>
                <w:sz w:val="19"/>
              </w:rPr>
              <w:t>系统架构图 draw.io</w:t>
            </w:r>
          </w:p>
        </w:tc>
        <w:tc>
          <w:tcPr>
            <w:tcW w:type="dxa" w:w="8352"/>
            <w:vAlign w:val="center"/>
          </w:tcPr>
          <w:p>
            <w:r>
              <w:rPr>
                <w:rFonts w:ascii="宋体" w:hAnsi="宋体" w:eastAsia="宋体"/>
                <w:b w:val="0"/>
                <w:sz w:val="19"/>
              </w:rPr>
              <w:t>D:\pythonFile\AI-Education2\docs\drawio\outline_design_2026-06-27\source\2_1-AI-Education系统总体架构图.drawio</w:t>
            </w:r>
          </w:p>
        </w:tc>
      </w:tr>
      <w:tr>
        <w:tc>
          <w:tcPr>
            <w:tcW w:type="dxa" w:w="2160"/>
            <w:vAlign w:val="center"/>
          </w:tcPr>
          <w:p>
            <w:r>
              <w:rPr>
                <w:rFonts w:ascii="宋体" w:hAnsi="宋体" w:eastAsia="宋体"/>
                <w:b w:val="0"/>
                <w:sz w:val="19"/>
              </w:rPr>
              <w:t>系统架构图 PNG</w:t>
            </w:r>
          </w:p>
        </w:tc>
        <w:tc>
          <w:tcPr>
            <w:tcW w:type="dxa" w:w="8352"/>
            <w:vAlign w:val="center"/>
          </w:tcPr>
          <w:p>
            <w:r>
              <w:rPr>
                <w:rFonts w:ascii="宋体" w:hAnsi="宋体" w:eastAsia="宋体"/>
                <w:b w:val="0"/>
                <w:sz w:val="19"/>
              </w:rPr>
              <w:t>D:\pythonFile\AI-Education2\docs\drawio\outline_design_2026-06-27\exports\2_1-AI-Education系统总体架构图.png</w:t>
            </w:r>
          </w:p>
        </w:tc>
      </w:tr>
      <w:tr>
        <w:tc>
          <w:tcPr>
            <w:tcW w:type="dxa" w:w="2160"/>
            <w:vAlign w:val="center"/>
          </w:tcPr>
          <w:p>
            <w:r>
              <w:rPr>
                <w:rFonts w:ascii="宋体" w:hAnsi="宋体" w:eastAsia="宋体"/>
                <w:b w:val="0"/>
                <w:sz w:val="19"/>
              </w:rPr>
              <w:t>模块协作图 draw.io</w:t>
            </w:r>
          </w:p>
        </w:tc>
        <w:tc>
          <w:tcPr>
            <w:tcW w:type="dxa" w:w="8352"/>
            <w:vAlign w:val="center"/>
          </w:tcPr>
          <w:p>
            <w:r>
              <w:rPr>
                <w:rFonts w:ascii="宋体" w:hAnsi="宋体" w:eastAsia="宋体"/>
                <w:b w:val="0"/>
                <w:sz w:val="19"/>
              </w:rPr>
              <w:t>D:\pythonFile\AI-Education2\docs\drawio\outline_design_2026-06-27\source\3_1-核心模块协作关系图.drawio</w:t>
            </w:r>
          </w:p>
        </w:tc>
      </w:tr>
      <w:tr>
        <w:tc>
          <w:tcPr>
            <w:tcW w:type="dxa" w:w="2160"/>
            <w:vAlign w:val="center"/>
          </w:tcPr>
          <w:p>
            <w:r>
              <w:rPr>
                <w:rFonts w:ascii="宋体" w:hAnsi="宋体" w:eastAsia="宋体"/>
                <w:b w:val="0"/>
                <w:sz w:val="19"/>
              </w:rPr>
              <w:t>模块协作图 PNG</w:t>
            </w:r>
          </w:p>
        </w:tc>
        <w:tc>
          <w:tcPr>
            <w:tcW w:type="dxa" w:w="8352"/>
            <w:vAlign w:val="center"/>
          </w:tcPr>
          <w:p>
            <w:r>
              <w:rPr>
                <w:rFonts w:ascii="宋体" w:hAnsi="宋体" w:eastAsia="宋体"/>
                <w:b w:val="0"/>
                <w:sz w:val="19"/>
              </w:rPr>
              <w:t>D:\pythonFile\AI-Education2\docs\drawio\outline_design_2026-06-27\exports\3_1-核心模块协作关系图.png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