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AI-Education 学生数字孪生模块</w:t>
      </w:r>
    </w:p>
    <w:p/>
    <w:p>
      <w:pPr>
        <w:jc w:val="center"/>
      </w:pPr>
      <w:r>
        <w:rPr>
          <w:b/>
          <w:color w:val="1F4E79"/>
          <w:sz w:val="48"/>
        </w:rPr>
        <w:t>附录C-2 项目计划</w:t>
      </w:r>
    </w:p>
    <w:p>
      <w:pPr>
        <w:jc w:val="center"/>
      </w:pPr>
      <w:r>
        <w:rPr>
          <w:sz w:val="24"/>
        </w:rPr>
        <w:t>面向学生数字孪生模块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学生数字孪生</w:t>
            </w:r>
          </w:p>
        </w:tc>
      </w:tr>
      <w:tr>
        <w:tc>
          <w:tcPr>
            <w:tcW w:type="dxa" w:w="4320"/>
          </w:tcPr>
          <w:p>
            <w:r>
              <w:t>依据</w:t>
            </w:r>
          </w:p>
        </w:tc>
        <w:tc>
          <w:tcPr>
            <w:tcW w:type="dxa" w:w="4320"/>
          </w:tcPr>
          <w:p>
            <w:r>
              <w:t>当前项目代码、接口、数据库与模板文档结构</w:t>
            </w:r>
          </w:p>
        </w:tc>
      </w:tr>
    </w:tbl>
    <w:p>
      <w:r>
        <w:br w:type="page"/>
      </w:r>
    </w:p>
    <w:p>
      <w:pPr>
        <w:pStyle w:val="Heading1"/>
      </w:pPr>
      <w:r>
        <w:t>1 项目概述</w:t>
      </w:r>
    </w:p>
    <w:p>
      <w:r>
        <w:t>学生数字孪生模块负责汇聚学习过程数据，生成学生画像、能力雷达、薄弱知识点、风险预警和趋势分析，并向课程孪生、教师孪生和个性化路径模块输出可复用结果。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项目范围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范围项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t>包含</w:t>
            </w:r>
          </w:p>
        </w:tc>
        <w:tc>
          <w:tcPr>
            <w:tcW w:type="dxa" w:w="4320"/>
            <w:vAlign w:val="center"/>
          </w:tcPr>
          <w:p>
            <w:r>
              <w:t>数据采集、画像计算、趋势记录、画像接口、学生诊断页面、路径推荐联动。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不包含</w:t>
            </w:r>
          </w:p>
        </w:tc>
        <w:tc>
          <w:tcPr>
            <w:tcW w:type="dxa" w:w="4320"/>
            <w:vAlign w:val="center"/>
          </w:tcPr>
          <w:p>
            <w:r>
              <w:t>教师数字孪生完整指标体系、行业情报、作业中心全流程、生产级统一认证。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依赖</w:t>
            </w:r>
          </w:p>
        </w:tc>
        <w:tc>
          <w:tcPr>
            <w:tcW w:type="dxa" w:w="4320"/>
            <w:vAlign w:val="center"/>
          </w:tcPr>
          <w:p>
            <w:r>
              <w:t>课程节点、测验记录、会话记录、LLM 日志、用户与师生关系数据。</w:t>
            </w:r>
          </w:p>
        </w:tc>
      </w:tr>
    </w:tbl>
    <w:p>
      <w:pPr>
        <w:pStyle w:val="Heading1"/>
      </w:pPr>
      <w:r>
        <w:t>3 工作分解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  <w:vAlign w:val="center"/>
          </w:tcPr>
          <w:p>
            <w:r>
              <w:t>需求分析</w:t>
            </w:r>
          </w:p>
        </w:tc>
        <w:tc>
          <w:tcPr>
            <w:tcW w:type="dxa" w:w="2880"/>
            <w:vAlign w:val="center"/>
          </w:tcPr>
          <w:p>
            <w:r>
              <w:t>确定画像指标、输入数据和输出对象</w:t>
            </w:r>
          </w:p>
        </w:tc>
        <w:tc>
          <w:tcPr>
            <w:tcW w:type="dxa" w:w="2880"/>
            <w:vAlign w:val="center"/>
          </w:tcPr>
          <w:p>
            <w:r>
              <w:t>需求规格说明书</w:t>
            </w:r>
          </w:p>
        </w:tc>
      </w:tr>
      <w:tr>
        <w:tc>
          <w:tcPr>
            <w:tcW w:type="dxa" w:w="2880"/>
            <w:vAlign w:val="center"/>
          </w:tcPr>
          <w:p>
            <w:r>
              <w:t>数据设计</w:t>
            </w:r>
          </w:p>
        </w:tc>
        <w:tc>
          <w:tcPr>
            <w:tcW w:type="dxa" w:w="2880"/>
            <w:vAlign w:val="center"/>
          </w:tcPr>
          <w:p>
            <w:r>
              <w:t>设计画像主表、节点明细、趋势历史</w:t>
            </w:r>
          </w:p>
        </w:tc>
        <w:tc>
          <w:tcPr>
            <w:tcW w:type="dxa" w:w="2880"/>
            <w:vAlign w:val="center"/>
          </w:tcPr>
          <w:p>
            <w:r>
              <w:t>数据库设计报告</w:t>
            </w:r>
          </w:p>
        </w:tc>
      </w:tr>
      <w:tr>
        <w:tc>
          <w:tcPr>
            <w:tcW w:type="dxa" w:w="2880"/>
            <w:vAlign w:val="center"/>
          </w:tcPr>
          <w:p>
            <w:r>
              <w:t>核心实现</w:t>
            </w:r>
          </w:p>
        </w:tc>
        <w:tc>
          <w:tcPr>
            <w:tcW w:type="dxa" w:w="2880"/>
            <w:vAlign w:val="center"/>
          </w:tcPr>
          <w:p>
            <w:r>
              <w:t>实现采集、评分、风险、趋势和摘要生成</w:t>
            </w:r>
          </w:p>
        </w:tc>
        <w:tc>
          <w:tcPr>
            <w:tcW w:type="dxa" w:w="2880"/>
            <w:vAlign w:val="center"/>
          </w:tcPr>
          <w:p>
            <w:r>
              <w:t>核心技术实现报告</w:t>
            </w:r>
          </w:p>
        </w:tc>
      </w:tr>
      <w:tr>
        <w:tc>
          <w:tcPr>
            <w:tcW w:type="dxa" w:w="2880"/>
            <w:vAlign w:val="center"/>
          </w:tcPr>
          <w:p>
            <w:r>
              <w:t>界面联调</w:t>
            </w:r>
          </w:p>
        </w:tc>
        <w:tc>
          <w:tcPr>
            <w:tcW w:type="dxa" w:w="2880"/>
            <w:vAlign w:val="center"/>
          </w:tcPr>
          <w:p>
            <w:r>
              <w:t>学生诊断页面接入雷达图、趋势图和列表</w:t>
            </w:r>
          </w:p>
        </w:tc>
        <w:tc>
          <w:tcPr>
            <w:tcW w:type="dxa" w:w="2880"/>
            <w:vAlign w:val="center"/>
          </w:tcPr>
          <w:p>
            <w:r>
              <w:t>用户界面设计</w:t>
            </w:r>
          </w:p>
        </w:tc>
      </w:tr>
      <w:tr>
        <w:tc>
          <w:tcPr>
            <w:tcW w:type="dxa" w:w="2880"/>
            <w:vAlign w:val="center"/>
          </w:tcPr>
          <w:p>
            <w:r>
              <w:t>测试验收</w:t>
            </w:r>
          </w:p>
        </w:tc>
        <w:tc>
          <w:tcPr>
            <w:tcW w:type="dxa" w:w="2880"/>
            <w:vAlign w:val="center"/>
          </w:tcPr>
          <w:p>
            <w:r>
              <w:t>完成接口、算法、页面和回归测试</w:t>
            </w:r>
          </w:p>
        </w:tc>
        <w:tc>
          <w:tcPr>
            <w:tcW w:type="dxa" w:w="2880"/>
            <w:vAlign w:val="center"/>
          </w:tcPr>
          <w:p>
            <w:r>
              <w:t>系统测试报告</w:t>
            </w:r>
          </w:p>
        </w:tc>
      </w:tr>
    </w:tbl>
    <w:p>
      <w:pPr>
        <w:pStyle w:val="Heading1"/>
      </w:pPr>
      <w:r>
        <w:t>4 风险计划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应对</w:t>
            </w:r>
          </w:p>
        </w:tc>
      </w:tr>
      <w:tr>
        <w:tc>
          <w:tcPr>
            <w:tcW w:type="dxa" w:w="2880"/>
            <w:vAlign w:val="center"/>
          </w:tcPr>
          <w:p>
            <w:r>
              <w:t>历史 JSON 与实体表并存</w:t>
            </w:r>
          </w:p>
        </w:tc>
        <w:tc>
          <w:tcPr>
            <w:tcW w:type="dxa" w:w="2880"/>
            <w:vAlign w:val="center"/>
          </w:tcPr>
          <w:p>
            <w:r>
              <w:t>数据来源混淆</w:t>
            </w:r>
          </w:p>
        </w:tc>
        <w:tc>
          <w:tcPr>
            <w:tcW w:type="dxa" w:w="2880"/>
            <w:vAlign w:val="center"/>
          </w:tcPr>
          <w:p>
            <w:r>
              <w:t>以实体表为准，保留迁移兜底。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画像数据不足</w:t>
            </w:r>
          </w:p>
        </w:tc>
        <w:tc>
          <w:tcPr>
            <w:tcW w:type="dxa" w:w="2880"/>
            <w:vAlign w:val="center"/>
          </w:tcPr>
          <w:p>
            <w:r>
              <w:t>风险与趋势不稳定</w:t>
            </w:r>
          </w:p>
        </w:tc>
        <w:tc>
          <w:tcPr>
            <w:tcW w:type="dxa" w:w="2880"/>
            <w:vAlign w:val="center"/>
          </w:tcPr>
          <w:p>
            <w:r>
              <w:t>缺失数据按 0 或稳定状态处理。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LLM 日志无法匹配节点</w:t>
            </w:r>
          </w:p>
        </w:tc>
        <w:tc>
          <w:tcPr>
            <w:tcW w:type="dxa" w:w="2880"/>
            <w:vAlign w:val="center"/>
          </w:tcPr>
          <w:p>
            <w:r>
              <w:t>互动指标偏低</w:t>
            </w:r>
          </w:p>
        </w:tc>
        <w:tc>
          <w:tcPr>
            <w:tcW w:type="dxa" w:w="2880"/>
            <w:vAlign w:val="center"/>
          </w:tcPr>
          <w:p>
            <w:r>
              <w:t>用 topic、module 与叶子节点做模糊匹配。</w:t>
            </w:r>
          </w:p>
        </w:tc>
      </w:tr>
      <w:tr>
        <w:tc>
          <w:tcPr>
            <w:tcW w:type="dxa" w:w="2880"/>
            <w:vAlign w:val="center"/>
          </w:tcPr>
          <w:p>
            <w:r>
              <w:t>多课程逻辑未完全展开</w:t>
            </w:r>
          </w:p>
        </w:tc>
        <w:tc>
          <w:tcPr>
            <w:tcW w:type="dxa" w:w="2880"/>
            <w:vAlign w:val="center"/>
          </w:tcPr>
          <w:p>
            <w:r>
              <w:t>课程画像过滤不足</w:t>
            </w:r>
          </w:p>
        </w:tc>
        <w:tc>
          <w:tcPr>
            <w:tcW w:type="dxa" w:w="2880"/>
            <w:vAlign w:val="center"/>
          </w:tcPr>
          <w:p>
            <w:r>
              <w:t>保留 course_id 参数，逐步完善多课程映射。</w:t>
            </w:r>
          </w:p>
        </w:tc>
      </w:tr>
    </w:tbl>
    <w:p>
      <w:pPr>
        <w:pStyle w:val="Heading1"/>
      </w:pPr>
      <w:r>
        <w:t>5 交付清单</w:t>
      </w:r>
    </w:p>
    <w:p>
      <w:pPr>
        <w:pStyle w:val="ListBullet"/>
      </w:pPr>
      <w:r>
        <w:t>学生画像数据模型与存储能力。</w:t>
      </w:r>
    </w:p>
    <w:p>
      <w:pPr>
        <w:pStyle w:val="ListBullet"/>
      </w:pPr>
      <w:r>
        <w:t>掌握度计算、技术分层、风险预警和趋势分析逻辑。</w:t>
      </w:r>
    </w:p>
    <w:p>
      <w:pPr>
        <w:pStyle w:val="ListBullet"/>
      </w:pPr>
      <w:r>
        <w:t>学生画像 API 与课程画像 API。</w:t>
      </w:r>
    </w:p>
    <w:p>
      <w:pPr>
        <w:pStyle w:val="ListBullet"/>
      </w:pPr>
      <w:r>
        <w:t>学生端学习诊断报告页面。</w:t>
      </w:r>
    </w:p>
    <w:p>
      <w:pPr>
        <w:pStyle w:val="ListBullet"/>
      </w:pPr>
      <w:r>
        <w:t>模块测试与验收说明。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