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AI-Education 学生数字孪生模块</w:t>
      </w:r>
    </w:p>
    <w:p/>
    <w:p>
      <w:pPr>
        <w:jc w:val="center"/>
      </w:pPr>
      <w:r>
        <w:rPr>
          <w:b/>
          <w:color w:val="1F4E79"/>
          <w:sz w:val="48"/>
        </w:rPr>
        <w:t>附录G-2 产品需求规格说明书</w:t>
      </w:r>
    </w:p>
    <w:p>
      <w:pPr>
        <w:jc w:val="center"/>
      </w:pPr>
      <w:r>
        <w:rPr>
          <w:sz w:val="24"/>
        </w:rPr>
        <w:t>学生数字孪生模块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学生数字孪生</w:t>
            </w:r>
          </w:p>
        </w:tc>
      </w:tr>
      <w:tr>
        <w:tc>
          <w:tcPr>
            <w:tcW w:type="dxa" w:w="4320"/>
          </w:tcPr>
          <w:p>
            <w:r>
              <w:t>依据</w:t>
            </w:r>
          </w:p>
        </w:tc>
        <w:tc>
          <w:tcPr>
            <w:tcW w:type="dxa" w:w="4320"/>
          </w:tcPr>
          <w:p>
            <w:r>
              <w:t>当前项目代码、接口、数据库与模板文档结构</w:t>
            </w:r>
          </w:p>
        </w:tc>
      </w:tr>
    </w:tbl>
    <w:p>
      <w:r>
        <w:br w:type="page"/>
      </w:r>
    </w:p>
    <w:p>
      <w:pPr>
        <w:pStyle w:val="Heading1"/>
      </w:pPr>
      <w:r>
        <w:t>1 产品定位</w:t>
      </w:r>
    </w:p>
    <w:p>
      <w:r>
        <w:t>学生数字孪生是 AI-Education 的学习诊断核心模块，目标是把分散的学习行为转换为可解释、可展示、可联动的学生能力画像。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用户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核心诉求</w:t>
            </w:r>
          </w:p>
        </w:tc>
      </w:tr>
      <w:tr>
        <w:tc>
          <w:tcPr>
            <w:tcW w:type="dxa" w:w="2880"/>
            <w:vAlign w:val="center"/>
          </w:tcPr>
          <w:p>
            <w:r>
              <w:t>学生</w:t>
            </w:r>
          </w:p>
        </w:tc>
        <w:tc>
          <w:tcPr>
            <w:tcW w:type="dxa" w:w="2880"/>
            <w:vAlign w:val="center"/>
          </w:tcPr>
          <w:p>
            <w:r>
              <w:t>查看学习诊断报告</w:t>
            </w:r>
          </w:p>
        </w:tc>
        <w:tc>
          <w:tcPr>
            <w:tcW w:type="dxa" w:w="2880"/>
            <w:vAlign w:val="center"/>
          </w:tcPr>
          <w:p>
            <w:r>
              <w:t>知道自己强在哪里、弱在哪里、下一步学什么。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教师</w:t>
            </w:r>
          </w:p>
        </w:tc>
        <w:tc>
          <w:tcPr>
            <w:tcW w:type="dxa" w:w="2880"/>
            <w:vAlign w:val="center"/>
          </w:tcPr>
          <w:p>
            <w:r>
              <w:t>查看学生画像摘要</w:t>
            </w:r>
          </w:p>
        </w:tc>
        <w:tc>
          <w:tcPr>
            <w:tcW w:type="dxa" w:w="2880"/>
            <w:vAlign w:val="center"/>
          </w:tcPr>
          <w:p>
            <w:r>
              <w:t>识别风险学生和薄弱知识点，进行针对性干预。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课程孪生</w:t>
            </w:r>
          </w:p>
        </w:tc>
        <w:tc>
          <w:tcPr>
            <w:tcW w:type="dxa" w:w="2880"/>
            <w:vAlign w:val="center"/>
          </w:tcPr>
          <w:p>
            <w:r>
              <w:t>消费学生课程画像</w:t>
            </w:r>
          </w:p>
        </w:tc>
        <w:tc>
          <w:tcPr>
            <w:tcW w:type="dxa" w:w="2880"/>
            <w:vAlign w:val="center"/>
          </w:tcPr>
          <w:p>
            <w:r>
              <w:t>获得课程维度掌握度、风险等级和节点弱项。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路径推荐</w:t>
            </w:r>
          </w:p>
        </w:tc>
        <w:tc>
          <w:tcPr>
            <w:tcW w:type="dxa" w:w="2880"/>
            <w:vAlign w:val="center"/>
          </w:tcPr>
          <w:p>
            <w:r>
              <w:t>读取薄弱节点</w:t>
            </w:r>
          </w:p>
        </w:tc>
        <w:tc>
          <w:tcPr>
            <w:tcW w:type="dxa" w:w="2880"/>
            <w:vAlign w:val="center"/>
          </w:tcPr>
          <w:p>
            <w:r>
              <w:t>生成个性化学习顺序和资源推荐。</w:t>
            </w:r>
          </w:p>
        </w:tc>
      </w:tr>
    </w:tbl>
    <w:p>
      <w:pPr>
        <w:pStyle w:val="Heading1"/>
      </w:pPr>
      <w:r>
        <w:t>3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ST-FR-01</w:t>
            </w:r>
          </w:p>
        </w:tc>
        <w:tc>
          <w:tcPr>
            <w:tcW w:type="dxa" w:w="2880"/>
            <w:vAlign w:val="center"/>
          </w:tcPr>
          <w:p>
            <w:r>
              <w:t>采集学习进度、测验分、AI 交互和会话时长。</w:t>
            </w:r>
          </w:p>
        </w:tc>
        <w:tc>
          <w:tcPr>
            <w:tcW w:type="dxa" w:w="2880"/>
            <w:vAlign w:val="center"/>
          </w:tcPr>
          <w:p>
            <w:r>
              <w:t>调用采集接口后画像节点数据更新。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ST-FR-02</w:t>
            </w:r>
          </w:p>
        </w:tc>
        <w:tc>
          <w:tcPr>
            <w:tcW w:type="dxa" w:w="2880"/>
            <w:vAlign w:val="center"/>
          </w:tcPr>
          <w:p>
            <w:r>
              <w:t>按权重计算知识点掌握度和整体掌握度。</w:t>
            </w:r>
          </w:p>
        </w:tc>
        <w:tc>
          <w:tcPr>
            <w:tcW w:type="dxa" w:w="2880"/>
            <w:vAlign w:val="center"/>
          </w:tcPr>
          <w:p>
            <w:r>
              <w:t>输出范围为 0-100，保留两位小数。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ST-FR-03</w:t>
            </w:r>
          </w:p>
        </w:tc>
        <w:tc>
          <w:tcPr>
            <w:tcW w:type="dxa" w:w="2880"/>
            <w:vAlign w:val="center"/>
          </w:tcPr>
          <w:p>
            <w:r>
              <w:t>生成五维能力雷达图数据。</w:t>
            </w:r>
          </w:p>
        </w:tc>
        <w:tc>
          <w:tcPr>
            <w:tcW w:type="dxa" w:w="2880"/>
            <w:vAlign w:val="center"/>
          </w:tcPr>
          <w:p>
            <w:r>
              <w:t>返回知识掌握、学习投入、实践能力、稳定性、测验表现。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ST-FR-04</w:t>
            </w:r>
          </w:p>
        </w:tc>
        <w:tc>
          <w:tcPr>
            <w:tcW w:type="dxa" w:w="2880"/>
            <w:vAlign w:val="center"/>
          </w:tcPr>
          <w:p>
            <w:r>
              <w:t>识别薄弱知识点。</w:t>
            </w:r>
          </w:p>
        </w:tc>
        <w:tc>
          <w:tcPr>
            <w:tcW w:type="dxa" w:w="2880"/>
            <w:vAlign w:val="center"/>
          </w:tcPr>
          <w:p>
            <w:r>
              <w:t>掌握度低于 60 的节点按分数升序输出。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ST-FR-05</w:t>
            </w:r>
          </w:p>
        </w:tc>
        <w:tc>
          <w:tcPr>
            <w:tcW w:type="dxa" w:w="2880"/>
            <w:vAlign w:val="center"/>
          </w:tcPr>
          <w:p>
            <w:r>
              <w:t>生成学习风险预警。</w:t>
            </w:r>
          </w:p>
        </w:tc>
        <w:tc>
          <w:tcPr>
            <w:tcW w:type="dxa" w:w="2880"/>
            <w:vAlign w:val="center"/>
          </w:tcPr>
          <w:p>
            <w:r>
              <w:t>输出风险编码、等级、标题和说明。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ST-FR-06</w:t>
            </w:r>
          </w:p>
        </w:tc>
        <w:tc>
          <w:tcPr>
            <w:tcW w:type="dxa" w:w="2880"/>
            <w:vAlign w:val="center"/>
          </w:tcPr>
          <w:p>
            <w:r>
              <w:t>提供 30 天趋势分析。</w:t>
            </w:r>
          </w:p>
        </w:tc>
        <w:tc>
          <w:tcPr>
            <w:tcW w:type="dxa" w:w="2880"/>
            <w:vAlign w:val="center"/>
          </w:tcPr>
          <w:p>
            <w:r>
              <w:t>输出 upward、stable 或 downward。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ST-FR-07</w:t>
            </w:r>
          </w:p>
        </w:tc>
        <w:tc>
          <w:tcPr>
            <w:tcW w:type="dxa" w:w="2880"/>
            <w:vAlign w:val="center"/>
          </w:tcPr>
          <w:p>
            <w:r>
              <w:t>提供学生课程画像查询。</w:t>
            </w:r>
          </w:p>
        </w:tc>
        <w:tc>
          <w:tcPr>
            <w:tcW w:type="dxa" w:w="2880"/>
            <w:vAlign w:val="center"/>
          </w:tcPr>
          <w:p>
            <w:r>
              <w:t>POST /api/digital-twin/student-course-profile 返回课程节点画像。</w:t>
            </w:r>
          </w:p>
        </w:tc>
      </w:tr>
    </w:tbl>
    <w:p>
      <w:pPr>
        <w:pStyle w:val="Heading1"/>
      </w:pPr>
      <w:r>
        <w:t>4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  <w:vAlign w:val="center"/>
          </w:tcPr>
          <w:p>
            <w:r>
              <w:t>准确性</w:t>
            </w:r>
          </w:p>
        </w:tc>
        <w:tc>
          <w:tcPr>
            <w:tcW w:type="dxa" w:w="4320"/>
            <w:vAlign w:val="center"/>
          </w:tcPr>
          <w:p>
            <w:r>
              <w:t>计算公式固定，缺失测验分按 0 处理，结果限制在 0-100。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可解释性</w:t>
            </w:r>
          </w:p>
        </w:tc>
        <w:tc>
          <w:tcPr>
            <w:tcW w:type="dxa" w:w="4320"/>
            <w:vAlign w:val="center"/>
          </w:tcPr>
          <w:p>
            <w:r>
              <w:t>风险、等级和弱项均返回文字说明。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可扩展性</w:t>
            </w:r>
          </w:p>
        </w:tc>
        <w:tc>
          <w:tcPr>
            <w:tcW w:type="dxa" w:w="4320"/>
            <w:vAlign w:val="center"/>
          </w:tcPr>
          <w:p>
            <w:r>
              <w:t>画像字段使用 Pydantic 模型和实体表，支持后续扩维。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性能</w:t>
            </w:r>
          </w:p>
        </w:tc>
        <w:tc>
          <w:tcPr>
            <w:tcW w:type="dxa" w:w="4320"/>
            <w:vAlign w:val="center"/>
          </w:tcPr>
          <w:p>
            <w:r>
              <w:t>画像读取走数据库实体表，趋势按最近 30 天过滤。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兼容性</w:t>
            </w:r>
          </w:p>
        </w:tc>
        <w:tc>
          <w:tcPr>
            <w:tcW w:type="dxa" w:w="4320"/>
            <w:vAlign w:val="center"/>
          </w:tcPr>
          <w:p>
            <w:r>
              <w:t>兼容 username、login_id、user_id 等历史标识。</w:t>
            </w:r>
          </w:p>
        </w:tc>
      </w:tr>
    </w:tbl>
    <w:p>
      <w:pPr>
        <w:pStyle w:val="Heading1"/>
      </w:pPr>
      <w:r>
        <w:t>5 数据字典摘要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880"/>
            <w:vAlign w:val="center"/>
          </w:tcPr>
          <w:p>
            <w:r>
              <w:t>quiz_score</w:t>
            </w:r>
          </w:p>
        </w:tc>
        <w:tc>
          <w:tcPr>
            <w:tcW w:type="dxa" w:w="2880"/>
            <w:vAlign w:val="center"/>
          </w:tcPr>
          <w:p>
            <w:r>
              <w:t>知识点测验得分</w:t>
            </w:r>
          </w:p>
        </w:tc>
        <w:tc>
          <w:tcPr>
            <w:tcW w:type="dxa" w:w="2880"/>
            <w:vAlign w:val="center"/>
          </w:tcPr>
          <w:p>
            <w:r>
              <w:t>QuizModule / quiz_attempts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progress</w:t>
            </w:r>
          </w:p>
        </w:tc>
        <w:tc>
          <w:tcPr>
            <w:tcW w:type="dxa" w:w="2880"/>
            <w:vAlign w:val="center"/>
          </w:tcPr>
          <w:p>
            <w:r>
              <w:t>知识点学习进度</w:t>
            </w:r>
          </w:p>
        </w:tc>
        <w:tc>
          <w:tcPr>
            <w:tcW w:type="dxa" w:w="2880"/>
            <w:vAlign w:val="center"/>
          </w:tcPr>
          <w:p>
            <w:r>
              <w:t>学习模块 / 用户进度</w:t>
            </w:r>
          </w:p>
        </w:tc>
      </w:tr>
      <w:tr>
        <w:tc>
          <w:tcPr>
            <w:tcW w:type="dxa" w:w="2880"/>
            <w:vAlign w:val="center"/>
          </w:tcPr>
          <w:p>
            <w:r>
              <w:t>llm_interaction_count</w:t>
            </w:r>
          </w:p>
        </w:tc>
        <w:tc>
          <w:tcPr>
            <w:tcW w:type="dxa" w:w="2880"/>
            <w:vAlign w:val="center"/>
          </w:tcPr>
          <w:p>
            <w:r>
              <w:t>围绕知识点的 AI 交互次数</w:t>
            </w:r>
          </w:p>
        </w:tc>
        <w:tc>
          <w:tcPr>
            <w:tcW w:type="dxa" w:w="2880"/>
            <w:vAlign w:val="center"/>
          </w:tcPr>
          <w:p>
            <w:r>
              <w:t>llm_logs</w:t>
            </w:r>
          </w:p>
        </w:tc>
      </w:tr>
      <w:tr>
        <w:tc>
          <w:tcPr>
            <w:tcW w:type="dxa" w:w="2880"/>
            <w:vAlign w:val="center"/>
          </w:tcPr>
          <w:p>
            <w:r>
              <w:t>study_duration_minutes</w:t>
            </w:r>
          </w:p>
        </w:tc>
        <w:tc>
          <w:tcPr>
            <w:tcW w:type="dxa" w:w="2880"/>
            <w:vAlign w:val="center"/>
          </w:tcPr>
          <w:p>
            <w:r>
              <w:t>知识点学习时长</w:t>
            </w:r>
          </w:p>
        </w:tc>
        <w:tc>
          <w:tcPr>
            <w:tcW w:type="dxa" w:w="2880"/>
            <w:vAlign w:val="center"/>
          </w:tcPr>
          <w:p>
            <w:r>
              <w:t>sessions</w:t>
            </w:r>
          </w:p>
        </w:tc>
      </w:tr>
      <w:tr>
        <w:tc>
          <w:tcPr>
            <w:tcW w:type="dxa" w:w="2880"/>
            <w:vAlign w:val="center"/>
          </w:tcPr>
          <w:p>
            <w:r>
              <w:t>mastery_score</w:t>
            </w:r>
          </w:p>
        </w:tc>
        <w:tc>
          <w:tcPr>
            <w:tcW w:type="dxa" w:w="2880"/>
            <w:vAlign w:val="center"/>
          </w:tcPr>
          <w:p>
            <w:r>
              <w:t>知识点综合掌握度</w:t>
            </w:r>
          </w:p>
        </w:tc>
        <w:tc>
          <w:tcPr>
            <w:tcW w:type="dxa" w:w="2880"/>
            <w:vAlign w:val="center"/>
          </w:tcPr>
          <w:p>
            <w:r>
              <w:t>ScoreCalculator</w:t>
            </w:r>
          </w:p>
        </w:tc>
      </w:tr>
      <w:tr>
        <w:tc>
          <w:tcPr>
            <w:tcW w:type="dxa" w:w="2880"/>
            <w:vAlign w:val="center"/>
          </w:tcPr>
          <w:p>
            <w:r>
              <w:t>overall_mastery</w:t>
            </w:r>
          </w:p>
        </w:tc>
        <w:tc>
          <w:tcPr>
            <w:tcW w:type="dxa" w:w="2880"/>
            <w:vAlign w:val="center"/>
          </w:tcPr>
          <w:p>
            <w:r>
              <w:t>整体掌握度</w:t>
            </w:r>
          </w:p>
        </w:tc>
        <w:tc>
          <w:tcPr>
            <w:tcW w:type="dxa" w:w="2880"/>
            <w:vAlign w:val="center"/>
          </w:tcPr>
          <w:p>
            <w:r>
              <w:t>所有节点掌握度平均值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