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AI-Education 学生数字孪生模块</w:t>
      </w:r>
    </w:p>
    <w:p/>
    <w:p>
      <w:pPr>
        <w:jc w:val="center"/>
      </w:pPr>
      <w:r>
        <w:rPr>
          <w:b/>
          <w:color w:val="1F4E79"/>
          <w:sz w:val="48"/>
        </w:rPr>
        <w:t>附录I-1 体系结构设计报告</w:t>
      </w:r>
    </w:p>
    <w:p>
      <w:pPr>
        <w:jc w:val="center"/>
      </w:pPr>
      <w:r>
        <w:rPr>
          <w:sz w:val="24"/>
        </w:rPr>
        <w:t>学生数字孪生模块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学生数字孪生</w:t>
            </w:r>
          </w:p>
        </w:tc>
      </w:tr>
      <w:tr>
        <w:tc>
          <w:tcPr>
            <w:tcW w:type="dxa" w:w="4320"/>
          </w:tcPr>
          <w:p>
            <w:r>
              <w:t>依据</w:t>
            </w:r>
          </w:p>
        </w:tc>
        <w:tc>
          <w:tcPr>
            <w:tcW w:type="dxa" w:w="4320"/>
          </w:tcPr>
          <w:p>
            <w:r>
              <w:t>当前项目代码、接口、数据库与模板文档结构</w:t>
            </w:r>
          </w:p>
        </w:tc>
      </w:tr>
    </w:tbl>
    <w:p>
      <w:r>
        <w:br w:type="page"/>
      </w:r>
    </w:p>
    <w:p>
      <w:pPr>
        <w:pStyle w:val="Heading1"/>
      </w:pPr>
      <w:r>
        <w:t>1 架构视图</w:t>
      </w:r>
    </w:p>
    <w:p>
      <w:r>
        <w:t>模块采用 API 层、服务层、计算层、存储层分层设计。前端只消费画像摘要，后端负责采集、归一化、计算和持久化。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  <w:vAlign w:val="center"/>
          </w:tcPr>
          <w:p>
            <w:r>
              <w:t>digital_twin_api.py</w:t>
            </w:r>
          </w:p>
        </w:tc>
        <w:tc>
          <w:tcPr>
            <w:tcW w:type="dxa" w:w="4320"/>
            <w:vAlign w:val="center"/>
          </w:tcPr>
          <w:p>
            <w:r>
              <w:t>提供采集、画像查询、测验分更新、路径生成、课程画像等 HTTP 接口。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DataCollector</w:t>
            </w:r>
          </w:p>
        </w:tc>
        <w:tc>
          <w:tcPr>
            <w:tcW w:type="dxa" w:w="4320"/>
            <w:vAlign w:val="center"/>
          </w:tcPr>
          <w:p>
            <w:r>
              <w:t>采集学习进度、LLM 交互、会话时长和测验成绩。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ScoreCalculator</w:t>
            </w:r>
          </w:p>
        </w:tc>
        <w:tc>
          <w:tcPr>
            <w:tcW w:type="dxa" w:w="4320"/>
            <w:vAlign w:val="center"/>
          </w:tcPr>
          <w:p>
            <w:r>
              <w:t>计算知识点掌握度和整体掌握度。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StudentTwinService</w:t>
            </w:r>
          </w:p>
        </w:tc>
        <w:tc>
          <w:tcPr>
            <w:tcW w:type="dxa" w:w="4320"/>
            <w:vAlign w:val="center"/>
          </w:tcPr>
          <w:p>
            <w:r>
              <w:t>生成雷达、风险、趋势、弱项和跨模块输出。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TwinProfileStore</w:t>
            </w:r>
          </w:p>
        </w:tc>
        <w:tc>
          <w:tcPr>
            <w:tcW w:type="dxa" w:w="4320"/>
            <w:vAlign w:val="center"/>
          </w:tcPr>
          <w:p>
            <w:r>
              <w:t>读写画像主表和节点明细。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TrendTracker</w:t>
            </w:r>
          </w:p>
        </w:tc>
        <w:tc>
          <w:tcPr>
            <w:tcW w:type="dxa" w:w="4320"/>
            <w:vAlign w:val="center"/>
          </w:tcPr>
          <w:p>
            <w:r>
              <w:t>记录和查询每日掌握度快照。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PathPlannerAgent</w:t>
            </w:r>
          </w:p>
        </w:tc>
        <w:tc>
          <w:tcPr>
            <w:tcW w:type="dxa" w:w="4320"/>
            <w:vAlign w:val="center"/>
          </w:tcPr>
          <w:p>
            <w:r>
              <w:t>基于薄弱点生成学习路径和资源推荐。</w:t>
            </w:r>
          </w:p>
        </w:tc>
      </w:tr>
    </w:tbl>
    <w:p>
      <w:pPr>
        <w:pStyle w:val="Heading1"/>
      </w:pPr>
      <w:r>
        <w:t>3 接口关系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>
              <w:t>/api/digital-twin/collect/{username}</w:t>
            </w:r>
          </w:p>
        </w:tc>
        <w:tc>
          <w:tcPr>
            <w:tcW w:type="dxa" w:w="2880"/>
            <w:vAlign w:val="center"/>
          </w:tcPr>
          <w:p>
            <w:r>
              <w:t>POST</w:t>
            </w:r>
          </w:p>
        </w:tc>
        <w:tc>
          <w:tcPr>
            <w:tcW w:type="dxa" w:w="2880"/>
            <w:vAlign w:val="center"/>
          </w:tcPr>
          <w:p>
            <w:r>
              <w:t>触发采集并刷新画像。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/api/digital-twin/profile/{username}</w:t>
            </w:r>
          </w:p>
        </w:tc>
        <w:tc>
          <w:tcPr>
            <w:tcW w:type="dxa" w:w="2880"/>
            <w:vAlign w:val="center"/>
          </w:tcPr>
          <w:p>
            <w:r>
              <w:t>GET</w:t>
            </w:r>
          </w:p>
        </w:tc>
        <w:tc>
          <w:tcPr>
            <w:tcW w:type="dxa" w:w="2880"/>
            <w:vAlign w:val="center"/>
          </w:tcPr>
          <w:p>
            <w:r>
              <w:t>返回原始画像快照。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/api/digital-twin/student-profile/{username}</w:t>
            </w:r>
          </w:p>
        </w:tc>
        <w:tc>
          <w:tcPr>
            <w:tcW w:type="dxa" w:w="2880"/>
            <w:vAlign w:val="center"/>
          </w:tcPr>
          <w:p>
            <w:r>
              <w:t>GET</w:t>
            </w:r>
          </w:p>
        </w:tc>
        <w:tc>
          <w:tcPr>
            <w:tcW w:type="dxa" w:w="2880"/>
            <w:vAlign w:val="center"/>
          </w:tcPr>
          <w:p>
            <w:r>
              <w:t>返回学生诊断摘要。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/api/digital-twin/quiz-score</w:t>
            </w:r>
          </w:p>
        </w:tc>
        <w:tc>
          <w:tcPr>
            <w:tcW w:type="dxa" w:w="2880"/>
            <w:vAlign w:val="center"/>
          </w:tcPr>
          <w:p>
            <w:r>
              <w:t>POST</w:t>
            </w:r>
          </w:p>
        </w:tc>
        <w:tc>
          <w:tcPr>
            <w:tcW w:type="dxa" w:w="2880"/>
            <w:vAlign w:val="center"/>
          </w:tcPr>
          <w:p>
            <w:r>
              <w:t>回写知识点测验分。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/api/digital-twin/student-course-profile</w:t>
            </w:r>
          </w:p>
        </w:tc>
        <w:tc>
          <w:tcPr>
            <w:tcW w:type="dxa" w:w="2880"/>
            <w:vAlign w:val="center"/>
          </w:tcPr>
          <w:p>
            <w:r>
              <w:t>POST</w:t>
            </w:r>
          </w:p>
        </w:tc>
        <w:tc>
          <w:tcPr>
            <w:tcW w:type="dxa" w:w="2880"/>
            <w:vAlign w:val="center"/>
          </w:tcPr>
          <w:p>
            <w:r>
              <w:t>返回学生在指定课程下的画像。</w:t>
            </w:r>
          </w:p>
        </w:tc>
      </w:tr>
    </w:tbl>
    <w:p>
      <w:pPr>
        <w:pStyle w:val="Heading1"/>
      </w:pPr>
      <w:r>
        <w:t>4 设计原则</w:t>
      </w:r>
    </w:p>
    <w:p>
      <w:pPr>
        <w:pStyle w:val="ListBullet"/>
      </w:pPr>
      <w:r>
        <w:t>实体表优先，历史文件仅作兼容来源。</w:t>
      </w:r>
    </w:p>
    <w:p>
      <w:pPr>
        <w:pStyle w:val="ListBullet"/>
      </w:pPr>
      <w:r>
        <w:t>采集与计算分离，便于独立测试。</w:t>
      </w:r>
    </w:p>
    <w:p>
      <w:pPr>
        <w:pStyle w:val="ListBullet"/>
      </w:pPr>
      <w:r>
        <w:t>输出 JSON 保持稳定，前端图表只依赖摘要字段。</w:t>
      </w:r>
    </w:p>
    <w:p>
      <w:pPr>
        <w:pStyle w:val="ListBullet"/>
      </w:pPr>
      <w:r>
        <w:t>风险和等级规则显式编码，保证可解释。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