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AI-Education 学生数字孪生模块</w:t>
      </w:r>
    </w:p>
    <w:p/>
    <w:p>
      <w:pPr>
        <w:jc w:val="center"/>
      </w:pPr>
      <w:r>
        <w:rPr>
          <w:b/>
          <w:color w:val="1F4E79"/>
          <w:sz w:val="48"/>
        </w:rPr>
        <w:t>附录I-4 核心技术实现报告</w:t>
      </w:r>
    </w:p>
    <w:p>
      <w:pPr>
        <w:jc w:val="center"/>
      </w:pPr>
      <w:r>
        <w:rPr>
          <w:sz w:val="24"/>
        </w:rPr>
        <w:t>学生数字孪生模块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学生数字孪生</w:t>
            </w:r>
          </w:p>
        </w:tc>
      </w:tr>
      <w:tr>
        <w:tc>
          <w:tcPr>
            <w:tcW w:type="dxa" w:w="4320"/>
          </w:tcPr>
          <w:p>
            <w:r>
              <w:t>依据</w:t>
            </w:r>
          </w:p>
        </w:tc>
        <w:tc>
          <w:tcPr>
            <w:tcW w:type="dxa" w:w="4320"/>
          </w:tcPr>
          <w:p>
            <w:r>
              <w:t>当前项目代码、接口、数据库与模板文档结构</w:t>
            </w:r>
          </w:p>
        </w:tc>
      </w:tr>
    </w:tbl>
    <w:p>
      <w:r>
        <w:br w:type="page"/>
      </w:r>
    </w:p>
    <w:p>
      <w:pPr>
        <w:pStyle w:val="Heading1"/>
      </w:pPr>
      <w:r>
        <w:t>1 技术路线</w:t>
      </w:r>
    </w:p>
    <w:p>
      <w:r>
        <w:t>模块采用“数据采集 -&gt; 归一化计算 -&gt; 画像摘要 -&gt; 前端可视化 -&gt; 路径联动”的技术路线。核心规则以代码显式实现，减少不可解释的黑盒判断。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 掌握度算法</w:t>
      </w:r>
    </w:p>
    <w:p>
      <w:r>
        <w:t>单个知识点掌握度计算公式如下：</w:t>
      </w:r>
    </w:p>
    <w:p>
      <w:r>
        <w:t>mastery_score = 0.40 × quiz_score + 0.30 × progress + 0.20 × min(llm_interaction_count / 10, 1) × 100 + 0.10 × min(study_duration_minutes / 30, 1) × 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权重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r>
              <w:t>quiz_score</w:t>
            </w:r>
          </w:p>
        </w:tc>
        <w:tc>
          <w:tcPr>
            <w:tcW w:type="dxa" w:w="2880"/>
            <w:vAlign w:val="center"/>
          </w:tcPr>
          <w:p>
            <w:r>
              <w:t>40%</w:t>
            </w:r>
          </w:p>
        </w:tc>
        <w:tc>
          <w:tcPr>
            <w:tcW w:type="dxa" w:w="2880"/>
            <w:vAlign w:val="center"/>
          </w:tcPr>
          <w:p>
            <w:r>
              <w:t>测验表现，缺失时按 0 处理。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progress</w:t>
            </w:r>
          </w:p>
        </w:tc>
        <w:tc>
          <w:tcPr>
            <w:tcW w:type="dxa" w:w="2880"/>
            <w:vAlign w:val="center"/>
          </w:tcPr>
          <w:p>
            <w:r>
              <w:t>30%</w:t>
            </w:r>
          </w:p>
        </w:tc>
        <w:tc>
          <w:tcPr>
            <w:tcW w:type="dxa" w:w="2880"/>
            <w:vAlign w:val="center"/>
          </w:tcPr>
          <w:p>
            <w:r>
              <w:t>学习进度，反映课程推进程度。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llm_interaction_count</w:t>
            </w:r>
          </w:p>
        </w:tc>
        <w:tc>
          <w:tcPr>
            <w:tcW w:type="dxa" w:w="2880"/>
            <w:vAlign w:val="center"/>
          </w:tcPr>
          <w:p>
            <w:r>
              <w:t>20%</w:t>
            </w:r>
          </w:p>
        </w:tc>
        <w:tc>
          <w:tcPr>
            <w:tcW w:type="dxa" w:w="2880"/>
            <w:vAlign w:val="center"/>
          </w:tcPr>
          <w:p>
            <w:r>
              <w:t>AI 互动次数，10 次封顶归一化。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study_duration_minutes</w:t>
            </w:r>
          </w:p>
        </w:tc>
        <w:tc>
          <w:tcPr>
            <w:tcW w:type="dxa" w:w="2880"/>
            <w:vAlign w:val="center"/>
          </w:tcPr>
          <w:p>
            <w:r>
              <w:t>10%</w:t>
            </w:r>
          </w:p>
        </w:tc>
        <w:tc>
          <w:tcPr>
            <w:tcW w:type="dxa" w:w="2880"/>
            <w:vAlign w:val="center"/>
          </w:tcPr>
          <w:p>
            <w:r>
              <w:t>学习时长，30 分钟封顶归一化。</w:t>
            </w:r>
          </w:p>
        </w:tc>
      </w:tr>
    </w:tbl>
    <w:p>
      <w:pPr>
        <w:pStyle w:val="Heading1"/>
      </w:pPr>
      <w:r>
        <w:t>3 能力分层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2880"/>
            <w:vAlign w:val="center"/>
          </w:tcPr>
          <w:p>
            <w:r>
              <w:t>overall_mastery &lt; 40</w:t>
            </w:r>
          </w:p>
        </w:tc>
        <w:tc>
          <w:tcPr>
            <w:tcW w:type="dxa" w:w="2880"/>
            <w:vAlign w:val="center"/>
          </w:tcPr>
          <w:p>
            <w:r>
              <w:t>基础薄弱</w:t>
            </w:r>
          </w:p>
        </w:tc>
        <w:tc>
          <w:tcPr>
            <w:tcW w:type="dxa" w:w="2880"/>
            <w:vAlign w:val="center"/>
          </w:tcPr>
          <w:p>
            <w:r>
              <w:t>优先补齐基础知识。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40 &lt;= overall_mastery &lt; 60</w:t>
            </w:r>
          </w:p>
        </w:tc>
        <w:tc>
          <w:tcPr>
            <w:tcW w:type="dxa" w:w="2880"/>
            <w:vAlign w:val="center"/>
          </w:tcPr>
          <w:p>
            <w:r>
              <w:t>基础建立中</w:t>
            </w:r>
          </w:p>
        </w:tc>
        <w:tc>
          <w:tcPr>
            <w:tcW w:type="dxa" w:w="2880"/>
            <w:vAlign w:val="center"/>
          </w:tcPr>
          <w:p>
            <w:r>
              <w:t>已有基础，但短板明显。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60 &lt;= overall_mastery &lt; 80 且薄弱点 &lt;= 4</w:t>
            </w:r>
          </w:p>
        </w:tc>
        <w:tc>
          <w:tcPr>
            <w:tcW w:type="dxa" w:w="2880"/>
            <w:vAlign w:val="center"/>
          </w:tcPr>
          <w:p>
            <w:r>
              <w:t>能力成型</w:t>
            </w:r>
          </w:p>
        </w:tc>
        <w:tc>
          <w:tcPr>
            <w:tcW w:type="dxa" w:w="2880"/>
            <w:vAlign w:val="center"/>
          </w:tcPr>
          <w:p>
            <w:r>
              <w:t>可进入系统强化训练。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60 &lt;= overall_mastery &lt; 80 且薄弱点 &gt; 4</w:t>
            </w:r>
          </w:p>
        </w:tc>
        <w:tc>
          <w:tcPr>
            <w:tcW w:type="dxa" w:w="2880"/>
            <w:vAlign w:val="center"/>
          </w:tcPr>
          <w:p>
            <w:r>
              <w:t>基础建立中</w:t>
            </w:r>
          </w:p>
        </w:tc>
        <w:tc>
          <w:tcPr>
            <w:tcW w:type="dxa" w:w="2880"/>
            <w:vAlign w:val="center"/>
          </w:tcPr>
          <w:p>
            <w:r>
              <w:t>整体中等但薄弱点较多。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overall_mastery &gt;= 80</w:t>
            </w:r>
          </w:p>
        </w:tc>
        <w:tc>
          <w:tcPr>
            <w:tcW w:type="dxa" w:w="2880"/>
            <w:vAlign w:val="center"/>
          </w:tcPr>
          <w:p>
            <w:r>
              <w:t>进阶提升</w:t>
            </w:r>
          </w:p>
        </w:tc>
        <w:tc>
          <w:tcPr>
            <w:tcW w:type="dxa" w:w="2880"/>
            <w:vAlign w:val="center"/>
          </w:tcPr>
          <w:p>
            <w:r>
              <w:t>可进入高阶任务和项目实践。</w:t>
            </w:r>
          </w:p>
        </w:tc>
      </w:tr>
    </w:tbl>
    <w:p>
      <w:pPr>
        <w:pStyle w:val="Heading1"/>
      </w:pPr>
      <w:r>
        <w:t>4 风险规则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触发规则</w:t>
            </w:r>
          </w:p>
        </w:tc>
      </w:tr>
      <w:tr>
        <w:tc>
          <w:tcPr>
            <w:tcW w:type="dxa" w:w="4320"/>
            <w:vAlign w:val="center"/>
          </w:tcPr>
          <w:p>
            <w:r>
              <w:t>知识薄弱风险</w:t>
            </w:r>
          </w:p>
        </w:tc>
        <w:tc>
          <w:tcPr>
            <w:tcW w:type="dxa" w:w="4320"/>
            <w:vAlign w:val="center"/>
          </w:tcPr>
          <w:p>
            <w:r>
              <w:t>overall_mastery &lt; 45 为高风险，45-60 为中风险。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进度滞后风险</w:t>
            </w:r>
          </w:p>
        </w:tc>
        <w:tc>
          <w:tcPr>
            <w:tcW w:type="dxa" w:w="4320"/>
            <w:vAlign w:val="center"/>
          </w:tcPr>
          <w:p>
            <w:r>
              <w:t>平均进度 &lt; 50 为高风险，50-70 为中风险。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学习投入风险</w:t>
            </w:r>
          </w:p>
        </w:tc>
        <w:tc>
          <w:tcPr>
            <w:tcW w:type="dxa" w:w="4320"/>
            <w:vAlign w:val="center"/>
          </w:tcPr>
          <w:p>
            <w:r>
              <w:t>学习投入分 &lt; 45 触发中风险。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趋势下滑风险</w:t>
            </w:r>
          </w:p>
        </w:tc>
        <w:tc>
          <w:tcPr>
            <w:tcW w:type="dxa" w:w="4320"/>
            <w:vAlign w:val="center"/>
          </w:tcPr>
          <w:p>
            <w:r>
              <w:t>30 天趋势状态为 downward。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薄弱点集中风险</w:t>
            </w:r>
          </w:p>
        </w:tc>
        <w:tc>
          <w:tcPr>
            <w:tcW w:type="dxa" w:w="4320"/>
            <w:vAlign w:val="center"/>
          </w:tcPr>
          <w:p>
            <w:r>
              <w:t>薄弱节点数 &gt;= 5。</w:t>
            </w:r>
          </w:p>
        </w:tc>
      </w:tr>
    </w:tbl>
    <w:p>
      <w:pPr>
        <w:pStyle w:val="Heading1"/>
      </w:pPr>
      <w:r>
        <w:t>5 输出结构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输出</w:t>
            </w:r>
          </w:p>
        </w:tc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4320"/>
            <w:vAlign w:val="center"/>
          </w:tcPr>
          <w:p>
            <w:r>
              <w:t>radar</w:t>
            </w:r>
          </w:p>
        </w:tc>
        <w:tc>
          <w:tcPr>
            <w:tcW w:type="dxa" w:w="4320"/>
            <w:vAlign w:val="center"/>
          </w:tcPr>
          <w:p>
            <w:r>
              <w:t>前端能力雷达图。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weak_nodes</w:t>
            </w:r>
          </w:p>
        </w:tc>
        <w:tc>
          <w:tcPr>
            <w:tcW w:type="dxa" w:w="4320"/>
            <w:vAlign w:val="center"/>
          </w:tcPr>
          <w:p>
            <w:r>
              <w:t>薄弱知识点列表和路径推荐输入。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risk_alerts</w:t>
            </w:r>
          </w:p>
        </w:tc>
        <w:tc>
          <w:tcPr>
            <w:tcW w:type="dxa" w:w="4320"/>
            <w:vAlign w:val="center"/>
          </w:tcPr>
          <w:p>
            <w:r>
              <w:t>学习风险预警。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trend</w:t>
            </w:r>
          </w:p>
        </w:tc>
        <w:tc>
          <w:tcPr>
            <w:tcW w:type="dxa" w:w="4320"/>
            <w:vAlign w:val="center"/>
          </w:tcPr>
          <w:p>
            <w:r>
              <w:t>趋势折线图和教师观察依据。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node_summary</w:t>
            </w:r>
          </w:p>
        </w:tc>
        <w:tc>
          <w:tcPr>
            <w:tcW w:type="dxa" w:w="4320"/>
            <w:vAlign w:val="center"/>
          </w:tcPr>
          <w:p>
            <w:r>
              <w:t>统计摘要。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outputs.for_course_twin</w:t>
            </w:r>
          </w:p>
        </w:tc>
        <w:tc>
          <w:tcPr>
            <w:tcW w:type="dxa" w:w="4320"/>
            <w:vAlign w:val="center"/>
          </w:tcPr>
          <w:p>
            <w:r>
              <w:t>课程孪生消费字段。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outputs.for_teacher_twin</w:t>
            </w:r>
          </w:p>
        </w:tc>
        <w:tc>
          <w:tcPr>
            <w:tcW w:type="dxa" w:w="4320"/>
            <w:vAlign w:val="center"/>
          </w:tcPr>
          <w:p>
            <w:r>
              <w:t>教师孪生消费字段。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