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AI-Education 学生数字孪生模块</w:t>
      </w:r>
    </w:p>
    <w:p/>
    <w:p>
      <w:pPr>
        <w:jc w:val="center"/>
      </w:pPr>
      <w:r>
        <w:rPr>
          <w:b/>
          <w:color w:val="1F4E79"/>
          <w:sz w:val="48"/>
        </w:rPr>
        <w:t>附录K-1 系统测试报告</w:t>
      </w:r>
    </w:p>
    <w:p>
      <w:pPr>
        <w:jc w:val="center"/>
      </w:pPr>
      <w:r>
        <w:rPr>
          <w:sz w:val="24"/>
        </w:rPr>
        <w:t>学生数字孪生模块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学生数字孪生</w:t>
            </w:r>
          </w:p>
        </w:tc>
      </w:tr>
      <w:tr>
        <w:tc>
          <w:tcPr>
            <w:tcW w:type="dxa" w:w="4320"/>
          </w:tcPr>
          <w:p>
            <w:r>
              <w:t>依据</w:t>
            </w:r>
          </w:p>
        </w:tc>
        <w:tc>
          <w:tcPr>
            <w:tcW w:type="dxa" w:w="4320"/>
          </w:tcPr>
          <w:p>
            <w:r>
              <w:t>当前项目代码、接口、数据库与模板文档结构</w:t>
            </w:r>
          </w:p>
        </w:tc>
      </w:tr>
    </w:tbl>
    <w:p>
      <w:r>
        <w:br w:type="page"/>
      </w:r>
    </w:p>
    <w:p>
      <w:pPr>
        <w:pStyle w:val="Heading1"/>
      </w:pPr>
      <w:r>
        <w:t>1 测试目标</w:t>
      </w:r>
    </w:p>
    <w:p>
      <w:r>
        <w:t>验证学生数字孪生从数据采集、画像计算、接口输出到前端展示的闭环正确性、稳定性和可解释性。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 测试范围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范围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r>
              <w:t>单元测试</w:t>
            </w:r>
          </w:p>
        </w:tc>
        <w:tc>
          <w:tcPr>
            <w:tcW w:type="dxa" w:w="4320"/>
            <w:vAlign w:val="center"/>
          </w:tcPr>
          <w:p>
            <w:r>
              <w:t>掌握度计算、能力分层、风险识别、趋势判断。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接口测试</w:t>
            </w:r>
          </w:p>
        </w:tc>
        <w:tc>
          <w:tcPr>
            <w:tcW w:type="dxa" w:w="4320"/>
            <w:vAlign w:val="center"/>
          </w:tcPr>
          <w:p>
            <w:r>
              <w:t>采集、画像查询、课程画像、测验分回写。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集成测试</w:t>
            </w:r>
          </w:p>
        </w:tc>
        <w:tc>
          <w:tcPr>
            <w:tcW w:type="dxa" w:w="4320"/>
            <w:vAlign w:val="center"/>
          </w:tcPr>
          <w:p>
            <w:r>
              <w:t>测验完成后同步画像，前端刷新后图表更新。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异常测试</w:t>
            </w:r>
          </w:p>
        </w:tc>
        <w:tc>
          <w:tcPr>
            <w:tcW w:type="dxa" w:w="4320"/>
            <w:vAlign w:val="center"/>
          </w:tcPr>
          <w:p>
            <w:r>
              <w:t>画像不存在、学生不存在、course_id 缺失、趋势数据不足。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回归测试</w:t>
            </w:r>
          </w:p>
        </w:tc>
        <w:tc>
          <w:tcPr>
            <w:tcW w:type="dxa" w:w="4320"/>
            <w:vAlign w:val="center"/>
          </w:tcPr>
          <w:p>
            <w:r>
              <w:t>学生端诊断页面、学习进度、路径推荐相关流程。</w:t>
            </w:r>
          </w:p>
        </w:tc>
      </w:tr>
    </w:tbl>
    <w:p>
      <w:pPr>
        <w:pStyle w:val="Heading1"/>
      </w:pPr>
      <w:r>
        <w:t>3 测试用例摘要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用例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2880"/>
            <w:vAlign w:val="center"/>
          </w:tcPr>
          <w:p>
            <w:r>
              <w:t>ST-TC-01</w:t>
            </w:r>
          </w:p>
        </w:tc>
        <w:tc>
          <w:tcPr>
            <w:tcW w:type="dxa" w:w="2880"/>
            <w:vAlign w:val="center"/>
          </w:tcPr>
          <w:p>
            <w:r>
              <w:t>输入 quiz=100、progress=100、互动和时长为空。</w:t>
            </w:r>
          </w:p>
        </w:tc>
        <w:tc>
          <w:tcPr>
            <w:tcW w:type="dxa" w:w="2880"/>
            <w:vAlign w:val="center"/>
          </w:tcPr>
          <w:p>
            <w:r>
              <w:t>mastery_score 不低于 90。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ST-TC-02</w:t>
            </w:r>
          </w:p>
        </w:tc>
        <w:tc>
          <w:tcPr>
            <w:tcW w:type="dxa" w:w="2880"/>
            <w:vAlign w:val="center"/>
          </w:tcPr>
          <w:p>
            <w:r>
              <w:t>整体掌握度 35。</w:t>
            </w:r>
          </w:p>
        </w:tc>
        <w:tc>
          <w:tcPr>
            <w:tcW w:type="dxa" w:w="2880"/>
            <w:vAlign w:val="center"/>
          </w:tcPr>
          <w:p>
            <w:r>
              <w:t>技术层级为基础薄弱，产生知识薄弱高风险。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ST-TC-03</w:t>
            </w:r>
          </w:p>
        </w:tc>
        <w:tc>
          <w:tcPr>
            <w:tcW w:type="dxa" w:w="2880"/>
            <w:vAlign w:val="center"/>
          </w:tcPr>
          <w:p>
            <w:r>
              <w:t>近 30 天掌握度提升超过 5。</w:t>
            </w:r>
          </w:p>
        </w:tc>
        <w:tc>
          <w:tcPr>
            <w:tcW w:type="dxa" w:w="2880"/>
            <w:vAlign w:val="center"/>
          </w:tcPr>
          <w:p>
            <w:r>
              <w:t>趋势状态为 upward。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ST-TC-04</w:t>
            </w:r>
          </w:p>
        </w:tc>
        <w:tc>
          <w:tcPr>
            <w:tcW w:type="dxa" w:w="2880"/>
            <w:vAlign w:val="center"/>
          </w:tcPr>
          <w:p>
            <w:r>
              <w:t>薄弱节点数达到 5。</w:t>
            </w:r>
          </w:p>
        </w:tc>
        <w:tc>
          <w:tcPr>
            <w:tcW w:type="dxa" w:w="2880"/>
            <w:vAlign w:val="center"/>
          </w:tcPr>
          <w:p>
            <w:r>
              <w:t>产生薄弱点集中风险。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ST-TC-05</w:t>
            </w:r>
          </w:p>
        </w:tc>
        <w:tc>
          <w:tcPr>
            <w:tcW w:type="dxa" w:w="2880"/>
            <w:vAlign w:val="center"/>
          </w:tcPr>
          <w:p>
            <w:r>
              <w:t>调用 /student-profile/{username}。</w:t>
            </w:r>
          </w:p>
        </w:tc>
        <w:tc>
          <w:tcPr>
            <w:tcW w:type="dxa" w:w="2880"/>
            <w:vAlign w:val="center"/>
          </w:tcPr>
          <w:p>
            <w:r>
              <w:t>返回 radar、weak_nodes、risk_alerts、trend。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ST-TC-06</w:t>
            </w:r>
          </w:p>
        </w:tc>
        <w:tc>
          <w:tcPr>
            <w:tcW w:type="dxa" w:w="2880"/>
            <w:vAlign w:val="center"/>
          </w:tcPr>
          <w:p>
            <w:r>
              <w:t>调用 /student-course-profile 且学生不存在。</w:t>
            </w:r>
          </w:p>
        </w:tc>
        <w:tc>
          <w:tcPr>
            <w:tcW w:type="dxa" w:w="2880"/>
            <w:vAlign w:val="center"/>
          </w:tcPr>
          <w:p>
            <w:r>
              <w:t>返回 404。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ST-TC-07</w:t>
            </w:r>
          </w:p>
        </w:tc>
        <w:tc>
          <w:tcPr>
            <w:tcW w:type="dxa" w:w="2880"/>
            <w:vAlign w:val="center"/>
          </w:tcPr>
          <w:p>
            <w:r>
              <w:t>前端点击重新生成诊断。</w:t>
            </w:r>
          </w:p>
        </w:tc>
        <w:tc>
          <w:tcPr>
            <w:tcW w:type="dxa" w:w="2880"/>
            <w:vAlign w:val="center"/>
          </w:tcPr>
          <w:p>
            <w:r>
              <w:t>刷新接口执行，图表重新渲染。</w:t>
            </w:r>
          </w:p>
        </w:tc>
      </w:tr>
    </w:tbl>
    <w:p>
      <w:pPr>
        <w:pStyle w:val="Heading1"/>
      </w:pPr>
      <w:r>
        <w:t>4 当前验证命令</w:t>
      </w:r>
    </w:p>
    <w:p>
      <w:r>
        <w:t>后端语法与接口自测：</w:t>
      </w:r>
    </w:p>
    <w:p>
      <w:r>
        <w:t>python -m py_compile DigitalTwinModule\digital_twin_api.py</w:t>
      </w:r>
    </w:p>
    <w:p>
      <w:r>
        <w:t>python scripts\backend_api_selftest.py --base-url http://127.0.0.1:8000</w:t>
      </w:r>
    </w:p>
    <w:p>
      <w:r>
        <w:t>前端构建验证：</w:t>
      </w:r>
    </w:p>
    <w:p>
      <w:r>
        <w:t>cd frontend-vue &amp;&amp; npm run build</w:t>
      </w:r>
    </w:p>
    <w:p>
      <w:pPr>
        <w:pStyle w:val="Heading1"/>
      </w:pPr>
      <w:r>
        <w:t>5 测试结论</w:t>
      </w:r>
    </w:p>
    <w:p>
      <w:r>
        <w:t>学生数字孪生模块测试重点明确，核心算法可用单元用例验证，接口可通过后端自测覆盖，前端页面可通过构建和人工交互验收。后续建议补充专门的 StudentTwinService 单元测试和 Playwright 页面截图测试。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