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08AF7">
      <w:pPr>
        <w:widowControl/>
        <w:spacing w:after="120"/>
        <w:ind w:firstLine="0" w:firstLineChars="0"/>
        <w:jc w:val="left"/>
        <w:rPr>
          <w:rFonts w:cs="Times New Roman"/>
          <w:b/>
          <w:bCs/>
          <w:sz w:val="21"/>
          <w:szCs w:val="20"/>
          <w:u w:val="single"/>
        </w:rPr>
      </w:pPr>
      <w:r>
        <w:rPr>
          <w:rFonts w:cs="Times New Roman"/>
          <w:b/>
          <w:bCs/>
          <w:sz w:val="21"/>
          <w:szCs w:val="20"/>
          <w:u w:val="single"/>
        </w:rPr>
        <w:drawing>
          <wp:anchor distT="0" distB="0" distL="114300" distR="114300" simplePos="0" relativeHeight="251667456" behindDoc="0" locked="0" layoutInCell="1" allowOverlap="1">
            <wp:simplePos x="0" y="0"/>
            <wp:positionH relativeFrom="margin">
              <wp:align>left</wp:align>
            </wp:positionH>
            <wp:positionV relativeFrom="paragraph">
              <wp:posOffset>0</wp:posOffset>
            </wp:positionV>
            <wp:extent cx="1143000" cy="116205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143000" cy="1162050"/>
                    </a:xfrm>
                    <a:prstGeom prst="rect">
                      <a:avLst/>
                    </a:prstGeom>
                    <a:noFill/>
                  </pic:spPr>
                </pic:pic>
              </a:graphicData>
            </a:graphic>
          </wp:anchor>
        </w:drawing>
      </w:r>
    </w:p>
    <w:p w14:paraId="764C4D26">
      <w:pPr>
        <w:widowControl/>
        <w:spacing w:after="120"/>
        <w:ind w:firstLine="0" w:firstLineChars="0"/>
        <w:jc w:val="right"/>
        <w:rPr>
          <w:rFonts w:cs="Times New Roman"/>
          <w:b/>
          <w:bCs/>
          <w:sz w:val="21"/>
          <w:szCs w:val="20"/>
          <w:u w:val="single"/>
        </w:rPr>
      </w:pPr>
      <w:bookmarkStart w:id="0" w:name="_Hlk9541077"/>
      <w:bookmarkEnd w:id="0"/>
      <w:r>
        <w:rPr>
          <w:rFonts w:cs="Times New Roman"/>
          <w:b/>
          <w:bCs/>
          <w:sz w:val="21"/>
          <w:szCs w:val="20"/>
        </w:rPr>
        <w:t>编号:</w:t>
      </w:r>
      <w:r>
        <w:rPr>
          <w:rFonts w:cs="Times New Roman"/>
          <w:b/>
          <w:bCs/>
          <w:u w:val="single"/>
        </w:rPr>
        <w:t xml:space="preserve"> </w:t>
      </w:r>
      <w:bookmarkStart w:id="1" w:name="OLE_LINK34"/>
      <w:r>
        <w:rPr>
          <w:rFonts w:cs="Times New Roman"/>
          <w:b/>
          <w:bCs/>
          <w:u w:val="single"/>
        </w:rPr>
        <w:t>20</w:t>
      </w:r>
      <w:r>
        <w:rPr>
          <w:rFonts w:hint="eastAsia" w:cs="Times New Roman"/>
          <w:b/>
          <w:bCs/>
          <w:u w:val="single"/>
        </w:rPr>
        <w:t>220502059</w:t>
      </w:r>
    </w:p>
    <w:bookmarkEnd w:id="1"/>
    <w:p w14:paraId="3F8D0DEC">
      <w:pPr>
        <w:widowControl/>
        <w:spacing w:after="120"/>
        <w:ind w:firstLine="0" w:firstLineChars="0"/>
        <w:jc w:val="left"/>
        <w:rPr>
          <w:rFonts w:cs="Times New Roman"/>
          <w:b/>
          <w:bCs/>
          <w:sz w:val="21"/>
          <w:szCs w:val="20"/>
          <w:u w:val="single"/>
        </w:rPr>
      </w:pPr>
    </w:p>
    <w:p w14:paraId="1C4650CC">
      <w:pPr>
        <w:widowControl/>
        <w:ind w:firstLine="0" w:firstLineChars="0"/>
        <w:jc w:val="left"/>
        <w:rPr>
          <w:rFonts w:eastAsia="楷体_GB2312" w:cs="Times New Roman"/>
          <w:b/>
          <w:bCs/>
          <w:sz w:val="96"/>
          <w:szCs w:val="96"/>
          <w:u w:val="single"/>
          <w:shd w:val="clear" w:color="auto" w:fill="FFFFFF"/>
        </w:rPr>
      </w:pPr>
    </w:p>
    <w:p w14:paraId="666C1589">
      <w:pPr>
        <w:widowControl/>
        <w:ind w:firstLine="964" w:firstLineChars="100"/>
        <w:jc w:val="left"/>
        <w:rPr>
          <w:rFonts w:hint="eastAsia" w:ascii="黑体" w:hAnsi="黑体" w:eastAsia="黑体" w:cs="黑体"/>
          <w:b/>
          <w:bCs/>
          <w:sz w:val="96"/>
          <w:szCs w:val="96"/>
          <w:u w:val="single"/>
        </w:rPr>
      </w:pPr>
      <w:r>
        <w:rPr>
          <w:rFonts w:hint="eastAsia" w:ascii="黑体" w:hAnsi="黑体" w:eastAsia="黑体" w:cs="黑体"/>
          <w:b/>
          <w:bCs/>
          <w:sz w:val="96"/>
          <w:szCs w:val="96"/>
          <w:u w:val="single"/>
          <w:shd w:val="clear" w:color="auto" w:fill="FFFFFF"/>
        </w:rPr>
        <w:t>贵州中医药大学</w:t>
      </w:r>
    </w:p>
    <w:p w14:paraId="02F23EBB">
      <w:pPr>
        <w:widowControl/>
        <w:ind w:firstLine="0" w:firstLineChars="0"/>
        <w:jc w:val="center"/>
        <w:rPr>
          <w:rFonts w:eastAsia="楷体_GB2312" w:cs="Times New Roman"/>
          <w:b/>
          <w:bCs/>
          <w:sz w:val="96"/>
          <w:szCs w:val="96"/>
          <w:u w:val="single"/>
        </w:rPr>
      </w:pPr>
      <w:r>
        <w:rPr>
          <w:rFonts w:eastAsia="华文行楷" w:cs="Times New Roman"/>
          <w:b/>
          <w:bCs/>
          <w:szCs w:val="20"/>
        </w:rPr>
        <w:t xml:space="preserve">   GUIZH</w:t>
      </w:r>
      <w:r>
        <w:rPr>
          <w:rFonts w:eastAsia="华文行楷" w:cs="Times New Roman"/>
          <w:b/>
          <w:bCs/>
          <w:szCs w:val="22"/>
        </w:rPr>
        <w:t xml:space="preserve">OU UNIVERSITY OF </w:t>
      </w:r>
      <w:r>
        <w:rPr>
          <w:rFonts w:eastAsia="华文行楷" w:cs="Times New Roman"/>
          <w:b/>
          <w:bCs/>
          <w:szCs w:val="20"/>
        </w:rPr>
        <w:t>TRADITIONAL CHINESE MEDICINE</w:t>
      </w:r>
    </w:p>
    <w:p w14:paraId="034C60CD">
      <w:pPr>
        <w:widowControl/>
        <w:ind w:firstLine="0" w:firstLineChars="0"/>
        <w:jc w:val="left"/>
        <w:rPr>
          <w:rFonts w:eastAsia="楷体_GB2312" w:cs="Times New Roman"/>
          <w:b/>
          <w:bCs/>
          <w:sz w:val="72"/>
          <w:szCs w:val="72"/>
        </w:rPr>
      </w:pPr>
    </w:p>
    <w:p w14:paraId="19E6F485">
      <w:pPr>
        <w:widowControl/>
        <w:ind w:firstLine="0" w:firstLineChars="0"/>
        <w:jc w:val="center"/>
        <w:rPr>
          <w:rFonts w:eastAsia="楷体_GB2312" w:cs="Times New Roman"/>
          <w:b/>
          <w:sz w:val="52"/>
          <w:szCs w:val="20"/>
        </w:rPr>
      </w:pPr>
      <w:r>
        <w:rPr>
          <w:rFonts w:eastAsia="楷体_GB2312" w:cs="Times New Roman"/>
          <w:b/>
          <w:bCs/>
          <w:sz w:val="72"/>
          <w:szCs w:val="72"/>
        </w:rPr>
        <w:t xml:space="preserve">毕 业 论 </w:t>
      </w:r>
      <w:r>
        <w:rPr>
          <w:rFonts w:eastAsia="楷体_GB2312" w:cs="Times New Roman"/>
          <w:b/>
          <w:bCs/>
          <w:spacing w:val="-26"/>
          <w:sz w:val="72"/>
          <w:szCs w:val="72"/>
        </w:rPr>
        <w:t>文</w:t>
      </w:r>
    </w:p>
    <w:p w14:paraId="7DF3A440">
      <w:pPr>
        <w:widowControl/>
        <w:ind w:firstLine="0" w:firstLineChars="0"/>
        <w:rPr>
          <w:rFonts w:eastAsia="楷体_GB2312" w:cs="Times New Roman"/>
          <w:bCs/>
          <w:sz w:val="36"/>
          <w:szCs w:val="36"/>
        </w:rPr>
      </w:pPr>
    </w:p>
    <w:p w14:paraId="285C5D08">
      <w:pPr>
        <w:widowControl/>
        <w:ind w:left="2160" w:hanging="2160" w:hangingChars="600"/>
        <w:jc w:val="left"/>
        <w:rPr>
          <w:rFonts w:eastAsia="楷体_GB2312" w:cs="Times New Roman"/>
          <w:bCs/>
          <w:sz w:val="36"/>
          <w:szCs w:val="36"/>
          <w:u w:val="single"/>
        </w:rPr>
      </w:pPr>
      <w:bookmarkStart w:id="2" w:name="_Toc6732"/>
      <w:r>
        <w:rPr>
          <w:rFonts w:eastAsia="楷体_GB2312" w:cs="Times New Roman"/>
          <w:bCs/>
          <w:sz w:val="36"/>
          <w:szCs w:val="36"/>
        </w:rPr>
        <w:t>题    目：</w:t>
      </w:r>
      <w:bookmarkEnd w:id="2"/>
      <w:r>
        <w:rPr>
          <w:rFonts w:eastAsia="楷体_GB2312" w:cs="Times New Roman"/>
          <w:bCs/>
          <w:sz w:val="36"/>
          <w:szCs w:val="36"/>
        </w:rPr>
        <w:t xml:space="preserve"> </w:t>
      </w:r>
      <w:r>
        <w:rPr>
          <w:rFonts w:hint="eastAsia" w:eastAsia="楷体_GB2312" w:cs="Times New Roman"/>
          <w:bCs/>
          <w:sz w:val="36"/>
          <w:szCs w:val="36"/>
          <w:u w:val="single"/>
        </w:rPr>
        <w:t xml:space="preserve">    MARK抑制剂的合成方法研究     </w:t>
      </w:r>
    </w:p>
    <w:p w14:paraId="06EA2A61">
      <w:pPr>
        <w:widowControl/>
        <w:ind w:firstLine="0" w:firstLineChars="0"/>
        <w:jc w:val="left"/>
        <w:rPr>
          <w:rFonts w:eastAsia="楷体_GB2312" w:cs="Times New Roman"/>
          <w:bCs/>
          <w:sz w:val="36"/>
          <w:szCs w:val="36"/>
        </w:rPr>
      </w:pPr>
      <w:r>
        <w:rPr>
          <w:rFonts w:eastAsia="楷体_GB2312" w:cs="Times New Roman"/>
          <w:bCs/>
          <w:sz w:val="36"/>
          <w:szCs w:val="36"/>
        </w:rPr>
        <w:t xml:space="preserve">学    院： </w:t>
      </w:r>
      <w:r>
        <w:rPr>
          <w:rFonts w:eastAsia="楷体_GB2312" w:cs="Times New Roman"/>
          <w:bCs/>
          <w:sz w:val="36"/>
          <w:szCs w:val="36"/>
          <w:u w:val="single"/>
        </w:rPr>
        <w:t xml:space="preserve">            </w:t>
      </w:r>
      <w:r>
        <w:rPr>
          <w:rFonts w:eastAsia="楷体_GB2312" w:cs="Times New Roman"/>
          <w:sz w:val="36"/>
          <w:szCs w:val="22"/>
          <w:u w:val="single"/>
        </w:rPr>
        <w:t>药学院</w:t>
      </w:r>
      <w:r>
        <w:rPr>
          <w:rFonts w:eastAsia="楷体_GB2312" w:cs="Times New Roman"/>
          <w:bCs/>
          <w:sz w:val="36"/>
          <w:szCs w:val="36"/>
          <w:u w:val="single"/>
        </w:rPr>
        <w:t xml:space="preserve">                 </w:t>
      </w:r>
      <w:r>
        <w:rPr>
          <w:rFonts w:eastAsia="楷体_GB2312" w:cs="Times New Roman"/>
          <w:bCs/>
          <w:sz w:val="36"/>
          <w:szCs w:val="36"/>
        </w:rPr>
        <w:t xml:space="preserve">专    业： </w:t>
      </w:r>
      <w:r>
        <w:rPr>
          <w:rFonts w:eastAsia="楷体_GB2312" w:cs="Times New Roman"/>
          <w:bCs/>
          <w:sz w:val="36"/>
          <w:szCs w:val="36"/>
          <w:u w:val="single"/>
        </w:rPr>
        <w:t xml:space="preserve">            </w:t>
      </w:r>
      <w:r>
        <w:rPr>
          <w:rFonts w:hint="eastAsia" w:eastAsia="楷体_GB2312" w:cs="Times New Roman"/>
          <w:bCs/>
          <w:sz w:val="36"/>
          <w:szCs w:val="36"/>
          <w:u w:val="single"/>
        </w:rPr>
        <w:t>中药制药</w:t>
      </w:r>
      <w:r>
        <w:rPr>
          <w:rFonts w:eastAsia="楷体_GB2312" w:cs="Times New Roman"/>
          <w:sz w:val="36"/>
          <w:szCs w:val="22"/>
          <w:u w:val="single"/>
        </w:rPr>
        <w:t xml:space="preserve">               </w:t>
      </w:r>
      <w:r>
        <w:rPr>
          <w:rFonts w:eastAsia="楷体_GB2312" w:cs="Times New Roman"/>
          <w:bCs/>
          <w:sz w:val="36"/>
          <w:szCs w:val="36"/>
        </w:rPr>
        <w:t xml:space="preserve">姓    名： </w:t>
      </w:r>
      <w:r>
        <w:rPr>
          <w:rFonts w:eastAsia="楷体_GB2312" w:cs="Times New Roman"/>
          <w:bCs/>
          <w:sz w:val="36"/>
          <w:szCs w:val="36"/>
          <w:u w:val="single"/>
        </w:rPr>
        <w:t xml:space="preserve">            </w:t>
      </w:r>
      <w:r>
        <w:rPr>
          <w:rFonts w:hint="eastAsia" w:eastAsia="楷体_GB2312" w:cs="Times New Roman"/>
          <w:bCs/>
          <w:sz w:val="36"/>
          <w:szCs w:val="36"/>
          <w:u w:val="single"/>
        </w:rPr>
        <w:t>何金沙</w:t>
      </w:r>
      <w:r>
        <w:rPr>
          <w:rFonts w:eastAsia="楷体_GB2312" w:cs="Times New Roman"/>
          <w:bCs/>
          <w:sz w:val="36"/>
          <w:szCs w:val="36"/>
          <w:u w:val="single"/>
        </w:rPr>
        <w:t xml:space="preserve">                 </w:t>
      </w:r>
      <w:r>
        <w:rPr>
          <w:rFonts w:eastAsia="楷体_GB2312" w:cs="Times New Roman"/>
          <w:bCs/>
          <w:sz w:val="36"/>
          <w:szCs w:val="36"/>
        </w:rPr>
        <w:t xml:space="preserve">年    级： </w:t>
      </w:r>
      <w:r>
        <w:rPr>
          <w:rFonts w:eastAsia="楷体_GB2312" w:cs="Times New Roman"/>
          <w:bCs/>
          <w:sz w:val="36"/>
          <w:szCs w:val="36"/>
          <w:u w:val="single"/>
        </w:rPr>
        <w:t xml:space="preserve">   </w:t>
      </w:r>
      <w:r>
        <w:rPr>
          <w:rFonts w:eastAsia="楷体_GB2312" w:cs="Times New Roman"/>
          <w:sz w:val="36"/>
          <w:szCs w:val="22"/>
          <w:u w:val="single"/>
        </w:rPr>
        <w:t xml:space="preserve">         202</w:t>
      </w:r>
      <w:r>
        <w:rPr>
          <w:rFonts w:hint="eastAsia" w:eastAsia="楷体_GB2312" w:cs="Times New Roman"/>
          <w:sz w:val="36"/>
          <w:szCs w:val="22"/>
          <w:u w:val="single"/>
        </w:rPr>
        <w:t>2</w:t>
      </w:r>
      <w:r>
        <w:rPr>
          <w:rFonts w:eastAsia="楷体_GB2312" w:cs="Times New Roman"/>
          <w:sz w:val="36"/>
          <w:szCs w:val="22"/>
          <w:u w:val="single"/>
        </w:rPr>
        <w:t>级</w:t>
      </w:r>
      <w:r>
        <w:rPr>
          <w:rFonts w:eastAsia="楷体_GB2312" w:cs="Times New Roman"/>
          <w:bCs/>
          <w:sz w:val="36"/>
          <w:szCs w:val="36"/>
          <w:u w:val="single"/>
        </w:rPr>
        <w:t xml:space="preserve">                 </w:t>
      </w:r>
      <w:r>
        <w:rPr>
          <w:rFonts w:eastAsia="楷体_GB2312" w:cs="Times New Roman"/>
          <w:bCs/>
          <w:sz w:val="36"/>
          <w:szCs w:val="36"/>
        </w:rPr>
        <w:t xml:space="preserve">指导教师： </w:t>
      </w:r>
      <w:r>
        <w:rPr>
          <w:rFonts w:eastAsia="楷体_GB2312" w:cs="Times New Roman"/>
          <w:bCs/>
          <w:sz w:val="36"/>
          <w:szCs w:val="36"/>
          <w:u w:val="single"/>
        </w:rPr>
        <w:t xml:space="preserve">            </w:t>
      </w:r>
      <w:r>
        <w:rPr>
          <w:rFonts w:hint="eastAsia" w:eastAsia="楷体_GB2312" w:cs="Times New Roman"/>
          <w:bCs/>
          <w:sz w:val="36"/>
          <w:szCs w:val="36"/>
          <w:u w:val="single"/>
        </w:rPr>
        <w:t>郝永佳</w:t>
      </w:r>
      <w:r>
        <w:rPr>
          <w:rFonts w:eastAsia="楷体_GB2312" w:cs="Times New Roman"/>
          <w:sz w:val="36"/>
          <w:szCs w:val="22"/>
          <w:u w:val="single"/>
        </w:rPr>
        <w:t xml:space="preserve">            </w:t>
      </w:r>
      <w:r>
        <w:rPr>
          <w:rFonts w:eastAsia="楷体_GB2312" w:cs="Times New Roman"/>
          <w:bCs/>
          <w:sz w:val="36"/>
          <w:szCs w:val="36"/>
          <w:u w:val="single"/>
        </w:rPr>
        <w:t xml:space="preserve">      </w:t>
      </w:r>
    </w:p>
    <w:p w14:paraId="26FAE97E">
      <w:pPr>
        <w:widowControl/>
        <w:ind w:firstLine="0" w:firstLineChars="0"/>
        <w:jc w:val="center"/>
        <w:rPr>
          <w:rFonts w:eastAsia="楷体_GB2312" w:cs="Times New Roman"/>
          <w:sz w:val="36"/>
          <w:szCs w:val="36"/>
        </w:rPr>
      </w:pPr>
    </w:p>
    <w:p w14:paraId="17ACD001">
      <w:pPr>
        <w:widowControl/>
        <w:ind w:firstLine="0" w:firstLineChars="0"/>
        <w:jc w:val="center"/>
        <w:rPr>
          <w:rFonts w:eastAsia="楷体_GB2312" w:cs="Times New Roman"/>
          <w:sz w:val="36"/>
          <w:szCs w:val="36"/>
        </w:rPr>
      </w:pPr>
    </w:p>
    <w:p w14:paraId="57809114">
      <w:pPr>
        <w:widowControl/>
        <w:ind w:firstLine="0" w:firstLineChars="0"/>
        <w:jc w:val="center"/>
        <w:rPr>
          <w:rFonts w:eastAsia="楷体_GB2312" w:cs="Times New Roman"/>
          <w:sz w:val="36"/>
          <w:szCs w:val="36"/>
        </w:rPr>
      </w:pPr>
    </w:p>
    <w:p w14:paraId="5578D23F">
      <w:pPr>
        <w:widowControl/>
        <w:ind w:firstLine="0" w:firstLineChars="0"/>
        <w:jc w:val="center"/>
        <w:rPr>
          <w:rFonts w:eastAsia="楷体_GB2312" w:cs="Times New Roman"/>
          <w:sz w:val="36"/>
          <w:szCs w:val="22"/>
        </w:rPr>
      </w:pPr>
      <w:r>
        <w:rPr>
          <w:rFonts w:eastAsia="楷体_GB2312" w:cs="Times New Roman"/>
          <w:sz w:val="36"/>
          <w:szCs w:val="36"/>
        </w:rPr>
        <w:t>完成时间</w:t>
      </w:r>
      <w:r>
        <w:rPr>
          <w:rFonts w:eastAsia="楷体_GB2312" w:cs="Times New Roman"/>
          <w:bCs/>
          <w:sz w:val="36"/>
          <w:szCs w:val="36"/>
        </w:rPr>
        <w:t>：</w:t>
      </w:r>
      <w:r>
        <w:rPr>
          <w:rFonts w:eastAsia="楷体_GB2312" w:cs="Times New Roman"/>
          <w:sz w:val="36"/>
          <w:szCs w:val="22"/>
        </w:rPr>
        <w:t>202</w:t>
      </w:r>
      <w:r>
        <w:rPr>
          <w:rFonts w:hint="eastAsia" w:eastAsia="楷体_GB2312" w:cs="Times New Roman"/>
          <w:sz w:val="36"/>
          <w:szCs w:val="22"/>
        </w:rPr>
        <w:t>6</w:t>
      </w:r>
      <w:r>
        <w:rPr>
          <w:rFonts w:eastAsia="楷体_GB2312" w:cs="Times New Roman"/>
          <w:sz w:val="36"/>
          <w:szCs w:val="22"/>
        </w:rPr>
        <w:t>年4月14日</w:t>
      </w:r>
      <w:r>
        <w:rPr>
          <w:rFonts w:eastAsia="楷体_GB2312" w:cs="Times New Roman"/>
          <w:sz w:val="36"/>
          <w:szCs w:val="22"/>
        </w:rPr>
        <w:br w:type="page"/>
      </w:r>
    </w:p>
    <w:p w14:paraId="2E8EA343">
      <w:pPr>
        <w:widowControl/>
        <w:ind w:firstLine="0" w:firstLineChars="0"/>
        <w:jc w:val="center"/>
        <w:rPr>
          <w:rFonts w:eastAsia="黑体" w:cs="Times New Roman"/>
          <w:b/>
          <w:bCs/>
          <w:sz w:val="44"/>
          <w:szCs w:val="44"/>
        </w:rPr>
      </w:pPr>
    </w:p>
    <w:p w14:paraId="7B8D5543">
      <w:pPr>
        <w:pStyle w:val="25"/>
        <w:ind w:left="240" w:right="240"/>
        <w:rPr>
          <w:rFonts w:hint="eastAsia"/>
        </w:rPr>
      </w:pPr>
      <w:bookmarkStart w:id="3" w:name="_Toc228186937"/>
      <w:bookmarkStart w:id="4" w:name="_Toc228185491"/>
      <w:bookmarkStart w:id="5" w:name="_Toc28778"/>
      <w:r>
        <w:t>贵州中医药大学本科毕业论文</w:t>
      </w:r>
      <w:bookmarkEnd w:id="3"/>
      <w:bookmarkEnd w:id="4"/>
      <w:bookmarkEnd w:id="5"/>
    </w:p>
    <w:p w14:paraId="6E5401BD">
      <w:pPr>
        <w:pStyle w:val="25"/>
        <w:ind w:left="240" w:right="240"/>
        <w:rPr>
          <w:rFonts w:hint="eastAsia"/>
        </w:rPr>
      </w:pPr>
      <w:bookmarkStart w:id="6" w:name="_Toc77"/>
      <w:bookmarkStart w:id="7" w:name="_Toc228185492"/>
      <w:bookmarkStart w:id="8" w:name="_Toc228186938"/>
      <w:bookmarkStart w:id="9" w:name="_Toc18674"/>
      <w:r>
        <w:t>诚 信 责 任 书</w:t>
      </w:r>
      <w:bookmarkEnd w:id="6"/>
      <w:bookmarkEnd w:id="7"/>
      <w:bookmarkEnd w:id="8"/>
      <w:bookmarkEnd w:id="9"/>
    </w:p>
    <w:p w14:paraId="621038D8">
      <w:pPr>
        <w:pStyle w:val="23"/>
        <w:ind w:left="240" w:right="240" w:firstLine="640" w:firstLineChars="200"/>
        <w:rPr>
          <w:rFonts w:hint="eastAsia"/>
        </w:rPr>
      </w:pPr>
      <w:r>
        <w:t>本人郑重声明：本人所呈交的毕业论文，是在导师的指导下独立进行研究所完成。毕业论文中凡引用他人已经发表或未发表的成果、数据、观点等，均已明确注明出处。</w:t>
      </w:r>
    </w:p>
    <w:p w14:paraId="2D7EE622">
      <w:pPr>
        <w:pStyle w:val="23"/>
        <w:ind w:left="240" w:right="240" w:firstLine="640" w:firstLineChars="200"/>
        <w:rPr>
          <w:rFonts w:hint="eastAsia"/>
        </w:rPr>
      </w:pPr>
      <w:r>
        <w:t>特此声明。</w:t>
      </w:r>
    </w:p>
    <w:p w14:paraId="6E933DC6">
      <w:pPr>
        <w:widowControl/>
        <w:ind w:firstLine="0" w:firstLineChars="0"/>
        <w:jc w:val="left"/>
        <w:rPr>
          <w:rFonts w:cs="Times New Roman"/>
          <w:sz w:val="32"/>
          <w:szCs w:val="32"/>
        </w:rPr>
      </w:pPr>
    </w:p>
    <w:p w14:paraId="422BAE77">
      <w:pPr>
        <w:widowControl/>
        <w:ind w:firstLine="4518" w:firstLineChars="1412"/>
        <w:jc w:val="left"/>
        <w:rPr>
          <w:rFonts w:cs="Times New Roman"/>
          <w:sz w:val="32"/>
          <w:szCs w:val="32"/>
        </w:rPr>
      </w:pPr>
    </w:p>
    <w:p w14:paraId="31A361D8">
      <w:pPr>
        <w:widowControl/>
        <w:ind w:firstLine="4518" w:firstLineChars="1412"/>
        <w:jc w:val="left"/>
        <w:rPr>
          <w:rFonts w:cs="Times New Roman"/>
          <w:sz w:val="32"/>
          <w:szCs w:val="32"/>
        </w:rPr>
      </w:pPr>
    </w:p>
    <w:p w14:paraId="03F69243">
      <w:pPr>
        <w:widowControl/>
        <w:ind w:firstLine="3953" w:firstLineChars="1412"/>
        <w:jc w:val="left"/>
        <w:rPr>
          <w:rFonts w:cs="Times New Roman"/>
          <w:sz w:val="28"/>
        </w:rPr>
      </w:pPr>
    </w:p>
    <w:tbl>
      <w:tblPr>
        <w:tblStyle w:val="14"/>
        <w:tblW w:w="3402" w:type="dxa"/>
        <w:tblInd w:w="49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tblGrid>
      <w:tr w14:paraId="02EF4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2" w:type="dxa"/>
          </w:tcPr>
          <w:p w14:paraId="2395A876">
            <w:pPr>
              <w:widowControl/>
              <w:ind w:firstLine="0" w:firstLineChars="0"/>
              <w:jc w:val="left"/>
              <w:rPr>
                <w:rFonts w:eastAsia="Times New Roman" w:cs="Times New Roman"/>
                <w:sz w:val="28"/>
              </w:rPr>
            </w:pPr>
            <w:r>
              <w:rPr>
                <w:rFonts w:hint="eastAsia" w:eastAsia="Times New Roman" w:cs="Times New Roman"/>
                <w:sz w:val="28"/>
              </w:rPr>
              <w:t>论文作者签名：</w:t>
            </w:r>
            <w:r>
              <w:rPr>
                <w:rFonts w:hint="eastAsia" w:eastAsia="Times New Roman" w:cs="Times New Roman"/>
                <w:sz w:val="28"/>
              </w:rPr>
              <w:tab/>
            </w:r>
          </w:p>
        </w:tc>
      </w:tr>
      <w:tr w14:paraId="6CF15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2" w:type="dxa"/>
          </w:tcPr>
          <w:p w14:paraId="1E957C51">
            <w:pPr>
              <w:widowControl/>
              <w:ind w:firstLine="0" w:firstLineChars="0"/>
              <w:jc w:val="left"/>
              <w:rPr>
                <w:rFonts w:eastAsia="Times New Roman" w:cs="Times New Roman"/>
                <w:sz w:val="28"/>
              </w:rPr>
            </w:pPr>
            <w:r>
              <w:rPr>
                <w:rFonts w:hint="eastAsia" w:eastAsia="Times New Roman" w:cs="Times New Roman"/>
                <w:sz w:val="28"/>
              </w:rPr>
              <w:t>日期：</w:t>
            </w:r>
          </w:p>
        </w:tc>
      </w:tr>
    </w:tbl>
    <w:p w14:paraId="188F1F83">
      <w:pPr>
        <w:pStyle w:val="5"/>
        <w:widowControl/>
        <w:ind w:firstLine="0" w:firstLineChars="0"/>
        <w:rPr>
          <w:rFonts w:hint="default"/>
        </w:rPr>
      </w:pPr>
    </w:p>
    <w:p w14:paraId="1D9E5522">
      <w:pPr>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23DFADB">
      <w:pPr>
        <w:ind w:firstLine="0" w:firstLineChars="0"/>
        <w:jc w:val="center"/>
        <w:rPr>
          <w:rFonts w:ascii="Times New Roman" w:hAnsi="Times New Roman" w:eastAsia="宋体" w:cstheme="minorBidi"/>
          <w:kern w:val="2"/>
          <w:sz w:val="24"/>
          <w:szCs w:val="24"/>
          <w:lang w:val="en-US" w:eastAsia="zh-CN" w:bidi="ar-SA"/>
        </w:rPr>
      </w:pPr>
      <w:r>
        <w:rPr>
          <w:rStyle w:val="34"/>
          <w:rFonts w:hint="eastAsia"/>
        </w:rPr>
        <w:t>目</w:t>
      </w:r>
      <w:r>
        <w:rPr>
          <w:rStyle w:val="34"/>
          <w:rFonts w:hint="eastAsia" w:eastAsia="黑体"/>
          <w:lang w:val="en-US" w:eastAsia="zh-CN"/>
        </w:rPr>
        <w:t xml:space="preserve"> </w:t>
      </w:r>
      <w:r>
        <w:rPr>
          <w:rStyle w:val="34"/>
          <w:rFonts w:hint="eastAsia"/>
        </w:rPr>
        <w:t>录</w:t>
      </w:r>
      <w:r>
        <w:rPr>
          <w:rFonts w:eastAsia="宋体"/>
          <w:sz w:val="24"/>
        </w:rPr>
        <w:fldChar w:fldCharType="begin"/>
      </w:r>
      <w:r>
        <w:rPr>
          <w:rFonts w:eastAsia="宋体"/>
          <w:sz w:val="24"/>
        </w:rPr>
        <w:instrText xml:space="preserve"> TOC \o "1-3" \h \z \u </w:instrText>
      </w:r>
      <w:r>
        <w:rPr>
          <w:rFonts w:eastAsia="宋体"/>
          <w:sz w:val="24"/>
        </w:rPr>
        <w:fldChar w:fldCharType="separate"/>
      </w:r>
    </w:p>
    <w:p w14:paraId="381DE994">
      <w:pPr>
        <w:pStyle w:val="10"/>
        <w:tabs>
          <w:tab w:val="right" w:leader="dot" w:pos="8306"/>
        </w:tabs>
      </w:pPr>
      <w:r>
        <w:fldChar w:fldCharType="begin"/>
      </w:r>
      <w:r>
        <w:instrText xml:space="preserve"> HYPERLINK \l _Toc31696 </w:instrText>
      </w:r>
      <w:r>
        <w:fldChar w:fldCharType="separate"/>
      </w:r>
      <w:r>
        <w:rPr>
          <w:rFonts w:cs="Times New Roman"/>
          <w:szCs w:val="44"/>
        </w:rPr>
        <w:t>摘 要</w:t>
      </w:r>
      <w:r>
        <w:tab/>
      </w:r>
      <w:r>
        <w:fldChar w:fldCharType="begin"/>
      </w:r>
      <w:r>
        <w:instrText xml:space="preserve"> PAGEREF _Toc31696 \h </w:instrText>
      </w:r>
      <w:r>
        <w:fldChar w:fldCharType="separate"/>
      </w:r>
      <w:r>
        <w:t>1</w:t>
      </w:r>
      <w:r>
        <w:fldChar w:fldCharType="end"/>
      </w:r>
      <w:r>
        <w:fldChar w:fldCharType="end"/>
      </w:r>
    </w:p>
    <w:p w14:paraId="37EB5F02">
      <w:pPr>
        <w:pStyle w:val="10"/>
        <w:tabs>
          <w:tab w:val="right" w:leader="dot" w:pos="8306"/>
        </w:tabs>
      </w:pPr>
      <w:r>
        <w:fldChar w:fldCharType="begin"/>
      </w:r>
      <w:r>
        <w:instrText xml:space="preserve"> HYPERLINK \l _Toc16198 </w:instrText>
      </w:r>
      <w:r>
        <w:fldChar w:fldCharType="separate"/>
      </w:r>
      <w:r>
        <w:rPr>
          <w:rFonts w:cs="Times New Roman"/>
        </w:rPr>
        <w:t>Abstract</w:t>
      </w:r>
      <w:r>
        <w:tab/>
      </w:r>
      <w:r>
        <w:fldChar w:fldCharType="begin"/>
      </w:r>
      <w:r>
        <w:instrText xml:space="preserve"> PAGEREF _Toc16198 \h </w:instrText>
      </w:r>
      <w:r>
        <w:fldChar w:fldCharType="separate"/>
      </w:r>
      <w:r>
        <w:t>2</w:t>
      </w:r>
      <w:r>
        <w:fldChar w:fldCharType="end"/>
      </w:r>
      <w:r>
        <w:fldChar w:fldCharType="end"/>
      </w:r>
    </w:p>
    <w:p w14:paraId="7D18C509">
      <w:pPr>
        <w:pStyle w:val="10"/>
        <w:tabs>
          <w:tab w:val="right" w:leader="dot" w:pos="8306"/>
        </w:tabs>
      </w:pPr>
      <w:r>
        <w:fldChar w:fldCharType="begin"/>
      </w:r>
      <w:r>
        <w:instrText xml:space="preserve"> HYPERLINK \l _Toc27749 </w:instrText>
      </w:r>
      <w:r>
        <w:fldChar w:fldCharType="separate"/>
      </w:r>
      <w:r>
        <w:rPr>
          <w:rFonts w:hint="eastAsia"/>
        </w:rPr>
        <w:t xml:space="preserve">第一章  </w:t>
      </w:r>
      <w:r>
        <w:t>MARK（</w:t>
      </w:r>
      <w:r>
        <w:rPr>
          <w:i/>
          <w:iCs/>
        </w:rPr>
        <w:t>Microtubule Affinity-Regulating Kinase</w:t>
      </w:r>
      <w:r>
        <w:t>）抑制剂研究综述</w:t>
      </w:r>
      <w:r>
        <w:tab/>
      </w:r>
      <w:r>
        <w:fldChar w:fldCharType="begin"/>
      </w:r>
      <w:r>
        <w:instrText xml:space="preserve"> PAGEREF _Toc27749 \h </w:instrText>
      </w:r>
      <w:r>
        <w:fldChar w:fldCharType="separate"/>
      </w:r>
      <w:r>
        <w:t>3</w:t>
      </w:r>
      <w:r>
        <w:fldChar w:fldCharType="end"/>
      </w:r>
      <w:r>
        <w:fldChar w:fldCharType="end"/>
      </w:r>
    </w:p>
    <w:p w14:paraId="2B209590">
      <w:pPr>
        <w:pStyle w:val="10"/>
        <w:tabs>
          <w:tab w:val="right" w:leader="dot" w:pos="8306"/>
        </w:tabs>
      </w:pPr>
      <w:r>
        <w:fldChar w:fldCharType="begin"/>
      </w:r>
      <w:r>
        <w:instrText xml:space="preserve"> HYPERLINK \l _Toc7026 </w:instrText>
      </w:r>
      <w:r>
        <w:fldChar w:fldCharType="separate"/>
      </w:r>
      <w:r>
        <w:rPr>
          <w:rFonts w:hint="eastAsia" w:cs="Times New Roman"/>
          <w:szCs w:val="44"/>
        </w:rPr>
        <w:t xml:space="preserve">1 </w:t>
      </w:r>
      <w:r>
        <w:rPr>
          <w:rFonts w:cs="Times New Roman"/>
          <w:szCs w:val="44"/>
        </w:rPr>
        <w:t>MARK激酶家族的结构特征与生物学功能</w:t>
      </w:r>
      <w:r>
        <w:tab/>
      </w:r>
      <w:r>
        <w:fldChar w:fldCharType="begin"/>
      </w:r>
      <w:r>
        <w:instrText xml:space="preserve"> PAGEREF _Toc7026 \h </w:instrText>
      </w:r>
      <w:r>
        <w:fldChar w:fldCharType="separate"/>
      </w:r>
      <w:r>
        <w:t>3</w:t>
      </w:r>
      <w:r>
        <w:fldChar w:fldCharType="end"/>
      </w:r>
      <w:r>
        <w:fldChar w:fldCharType="end"/>
      </w:r>
    </w:p>
    <w:p w14:paraId="50049E1B">
      <w:pPr>
        <w:pStyle w:val="10"/>
        <w:tabs>
          <w:tab w:val="right" w:leader="dot" w:pos="8306"/>
        </w:tabs>
      </w:pPr>
      <w:r>
        <w:fldChar w:fldCharType="begin"/>
      </w:r>
      <w:r>
        <w:instrText xml:space="preserve"> HYPERLINK \l _Toc21569 </w:instrText>
      </w:r>
      <w:r>
        <w:fldChar w:fldCharType="separate"/>
      </w:r>
      <w:r>
        <w:rPr>
          <w:rFonts w:hint="eastAsia"/>
        </w:rPr>
        <w:t xml:space="preserve">2 </w:t>
      </w:r>
      <w:r>
        <w:t>Tau蛋白与微管稳态失衡的病理基础</w:t>
      </w:r>
      <w:r>
        <w:tab/>
      </w:r>
      <w:r>
        <w:fldChar w:fldCharType="begin"/>
      </w:r>
      <w:r>
        <w:instrText xml:space="preserve"> PAGEREF _Toc21569 \h </w:instrText>
      </w:r>
      <w:r>
        <w:fldChar w:fldCharType="separate"/>
      </w:r>
      <w:r>
        <w:t>5</w:t>
      </w:r>
      <w:r>
        <w:fldChar w:fldCharType="end"/>
      </w:r>
      <w:r>
        <w:fldChar w:fldCharType="end"/>
      </w:r>
    </w:p>
    <w:p w14:paraId="08453DD2">
      <w:pPr>
        <w:pStyle w:val="10"/>
        <w:tabs>
          <w:tab w:val="right" w:leader="dot" w:pos="8306"/>
        </w:tabs>
      </w:pPr>
      <w:r>
        <w:fldChar w:fldCharType="begin"/>
      </w:r>
      <w:r>
        <w:instrText xml:space="preserve"> HYPERLINK \l _Toc23648 </w:instrText>
      </w:r>
      <w:r>
        <w:fldChar w:fldCharType="separate"/>
      </w:r>
      <w:r>
        <w:rPr>
          <w:rFonts w:hint="eastAsia"/>
        </w:rPr>
        <w:t xml:space="preserve">3 </w:t>
      </w:r>
      <w:r>
        <w:t>MARK–Tau轴在阿尔茨海默症中的作用机制</w:t>
      </w:r>
      <w:r>
        <w:tab/>
      </w:r>
      <w:r>
        <w:fldChar w:fldCharType="begin"/>
      </w:r>
      <w:r>
        <w:instrText xml:space="preserve"> PAGEREF _Toc23648 \h </w:instrText>
      </w:r>
      <w:r>
        <w:fldChar w:fldCharType="separate"/>
      </w:r>
      <w:r>
        <w:t>6</w:t>
      </w:r>
      <w:r>
        <w:fldChar w:fldCharType="end"/>
      </w:r>
      <w:r>
        <w:fldChar w:fldCharType="end"/>
      </w:r>
    </w:p>
    <w:p w14:paraId="1C080F1E">
      <w:pPr>
        <w:pStyle w:val="10"/>
        <w:tabs>
          <w:tab w:val="right" w:leader="dot" w:pos="8306"/>
        </w:tabs>
      </w:pPr>
      <w:r>
        <w:fldChar w:fldCharType="begin"/>
      </w:r>
      <w:r>
        <w:instrText xml:space="preserve"> HYPERLINK \l _Toc24334 </w:instrText>
      </w:r>
      <w:r>
        <w:fldChar w:fldCharType="separate"/>
      </w:r>
      <w:r>
        <w:rPr>
          <w:rFonts w:hint="eastAsia"/>
        </w:rPr>
        <w:t xml:space="preserve">4 </w:t>
      </w:r>
      <w:r>
        <w:t>MARK4作为治疗靶点的研究依据</w:t>
      </w:r>
      <w:r>
        <w:tab/>
      </w:r>
      <w:r>
        <w:fldChar w:fldCharType="begin"/>
      </w:r>
      <w:r>
        <w:instrText xml:space="preserve"> PAGEREF _Toc24334 \h </w:instrText>
      </w:r>
      <w:r>
        <w:fldChar w:fldCharType="separate"/>
      </w:r>
      <w:r>
        <w:t>8</w:t>
      </w:r>
      <w:r>
        <w:fldChar w:fldCharType="end"/>
      </w:r>
      <w:r>
        <w:fldChar w:fldCharType="end"/>
      </w:r>
    </w:p>
    <w:p w14:paraId="031EBD24">
      <w:pPr>
        <w:pStyle w:val="10"/>
        <w:tabs>
          <w:tab w:val="right" w:leader="dot" w:pos="8306"/>
        </w:tabs>
      </w:pPr>
      <w:r>
        <w:fldChar w:fldCharType="begin"/>
      </w:r>
      <w:r>
        <w:instrText xml:space="preserve"> HYPERLINK \l _Toc11736 </w:instrText>
      </w:r>
      <w:r>
        <w:fldChar w:fldCharType="separate"/>
      </w:r>
      <w:r>
        <w:rPr>
          <w:rFonts w:hint="eastAsia"/>
        </w:rPr>
        <w:t xml:space="preserve">5 </w:t>
      </w:r>
      <w:r>
        <w:t>MARK抑制剂的发现与药物化学研究进展</w:t>
      </w:r>
      <w:r>
        <w:tab/>
      </w:r>
      <w:r>
        <w:fldChar w:fldCharType="begin"/>
      </w:r>
      <w:r>
        <w:instrText xml:space="preserve"> PAGEREF _Toc11736 \h </w:instrText>
      </w:r>
      <w:r>
        <w:fldChar w:fldCharType="separate"/>
      </w:r>
      <w:r>
        <w:t>10</w:t>
      </w:r>
      <w:r>
        <w:fldChar w:fldCharType="end"/>
      </w:r>
      <w:r>
        <w:fldChar w:fldCharType="end"/>
      </w:r>
    </w:p>
    <w:p w14:paraId="3D3366B4">
      <w:pPr>
        <w:pStyle w:val="10"/>
        <w:tabs>
          <w:tab w:val="right" w:leader="dot" w:pos="8306"/>
        </w:tabs>
      </w:pPr>
      <w:r>
        <w:fldChar w:fldCharType="begin"/>
      </w:r>
      <w:r>
        <w:instrText xml:space="preserve"> HYPERLINK \l _Toc1325 </w:instrText>
      </w:r>
      <w:r>
        <w:fldChar w:fldCharType="separate"/>
      </w:r>
      <w:r>
        <w:rPr>
          <w:rFonts w:hint="eastAsia"/>
        </w:rPr>
        <w:t xml:space="preserve">6 </w:t>
      </w:r>
      <w:r>
        <w:t>MARK 抑制剂的类型拓展与新策略</w:t>
      </w:r>
      <w:r>
        <w:tab/>
      </w:r>
      <w:r>
        <w:fldChar w:fldCharType="begin"/>
      </w:r>
      <w:r>
        <w:instrText xml:space="preserve"> PAGEREF _Toc1325 \h </w:instrText>
      </w:r>
      <w:r>
        <w:fldChar w:fldCharType="separate"/>
      </w:r>
      <w:r>
        <w:t>11</w:t>
      </w:r>
      <w:r>
        <w:fldChar w:fldCharType="end"/>
      </w:r>
      <w:r>
        <w:fldChar w:fldCharType="end"/>
      </w:r>
    </w:p>
    <w:p w14:paraId="45FCB0BA">
      <w:pPr>
        <w:pStyle w:val="10"/>
        <w:tabs>
          <w:tab w:val="right" w:leader="dot" w:pos="8306"/>
        </w:tabs>
      </w:pPr>
      <w:r>
        <w:fldChar w:fldCharType="begin"/>
      </w:r>
      <w:r>
        <w:instrText xml:space="preserve"> HYPERLINK \l _Toc7042 </w:instrText>
      </w:r>
      <w:r>
        <w:fldChar w:fldCharType="separate"/>
      </w:r>
      <w:r>
        <w:rPr>
          <w:rFonts w:hint="eastAsia"/>
        </w:rPr>
        <w:t xml:space="preserve">7 </w:t>
      </w:r>
      <w:r>
        <w:t>MARK抑制剂的拓展应用与研究展望</w:t>
      </w:r>
      <w:r>
        <w:tab/>
      </w:r>
      <w:r>
        <w:fldChar w:fldCharType="begin"/>
      </w:r>
      <w:r>
        <w:instrText xml:space="preserve"> PAGEREF _Toc7042 \h </w:instrText>
      </w:r>
      <w:r>
        <w:fldChar w:fldCharType="separate"/>
      </w:r>
      <w:r>
        <w:t>12</w:t>
      </w:r>
      <w:r>
        <w:fldChar w:fldCharType="end"/>
      </w:r>
      <w:r>
        <w:fldChar w:fldCharType="end"/>
      </w:r>
    </w:p>
    <w:p w14:paraId="6F395EA0">
      <w:pPr>
        <w:pStyle w:val="10"/>
        <w:tabs>
          <w:tab w:val="right" w:leader="dot" w:pos="8306"/>
        </w:tabs>
      </w:pPr>
      <w:r>
        <w:fldChar w:fldCharType="begin"/>
      </w:r>
      <w:r>
        <w:instrText xml:space="preserve"> HYPERLINK \l _Toc3376 </w:instrText>
      </w:r>
      <w:r>
        <w:fldChar w:fldCharType="separate"/>
      </w:r>
      <w:r>
        <w:rPr>
          <w:rFonts w:hint="eastAsia"/>
        </w:rPr>
        <w:t xml:space="preserve">8 </w:t>
      </w:r>
      <w:r>
        <w:t>立题依据</w:t>
      </w:r>
      <w:r>
        <w:tab/>
      </w:r>
      <w:r>
        <w:fldChar w:fldCharType="begin"/>
      </w:r>
      <w:r>
        <w:instrText xml:space="preserve"> PAGEREF _Toc3376 \h </w:instrText>
      </w:r>
      <w:r>
        <w:fldChar w:fldCharType="separate"/>
      </w:r>
      <w:r>
        <w:t>13</w:t>
      </w:r>
      <w:r>
        <w:fldChar w:fldCharType="end"/>
      </w:r>
      <w:r>
        <w:fldChar w:fldCharType="end"/>
      </w:r>
    </w:p>
    <w:p w14:paraId="022B3913">
      <w:pPr>
        <w:pStyle w:val="10"/>
        <w:tabs>
          <w:tab w:val="right" w:leader="dot" w:pos="8306"/>
        </w:tabs>
      </w:pPr>
      <w:r>
        <w:fldChar w:fldCharType="begin"/>
      </w:r>
      <w:r>
        <w:instrText xml:space="preserve"> HYPERLINK \l _Toc15636 </w:instrText>
      </w:r>
      <w:r>
        <w:fldChar w:fldCharType="separate"/>
      </w:r>
      <w:r>
        <w:rPr>
          <w:rFonts w:hint="eastAsia"/>
        </w:rPr>
        <w:t xml:space="preserve">第二章  </w:t>
      </w:r>
      <w:r>
        <w:t>实验部分</w:t>
      </w:r>
      <w:r>
        <w:tab/>
      </w:r>
      <w:r>
        <w:fldChar w:fldCharType="begin"/>
      </w:r>
      <w:r>
        <w:instrText xml:space="preserve"> PAGEREF _Toc15636 \h </w:instrText>
      </w:r>
      <w:r>
        <w:fldChar w:fldCharType="separate"/>
      </w:r>
      <w:r>
        <w:t>15</w:t>
      </w:r>
      <w:r>
        <w:fldChar w:fldCharType="end"/>
      </w:r>
      <w:r>
        <w:fldChar w:fldCharType="end"/>
      </w:r>
    </w:p>
    <w:p w14:paraId="1B139147">
      <w:pPr>
        <w:pStyle w:val="10"/>
        <w:tabs>
          <w:tab w:val="right" w:leader="dot" w:pos="8306"/>
        </w:tabs>
      </w:pPr>
      <w:r>
        <w:fldChar w:fldCharType="begin"/>
      </w:r>
      <w:r>
        <w:instrText xml:space="preserve"> HYPERLINK \l _Toc30163 </w:instrText>
      </w:r>
      <w:r>
        <w:fldChar w:fldCharType="separate"/>
      </w:r>
      <w:r>
        <w:rPr>
          <w:rFonts w:hint="eastAsia"/>
        </w:rPr>
        <w:t xml:space="preserve">1 </w:t>
      </w:r>
      <w:r>
        <w:t>材料与设备</w:t>
      </w:r>
      <w:r>
        <w:tab/>
      </w:r>
      <w:r>
        <w:fldChar w:fldCharType="begin"/>
      </w:r>
      <w:r>
        <w:instrText xml:space="preserve"> PAGEREF _Toc30163 \h </w:instrText>
      </w:r>
      <w:r>
        <w:fldChar w:fldCharType="separate"/>
      </w:r>
      <w:r>
        <w:t>15</w:t>
      </w:r>
      <w:r>
        <w:fldChar w:fldCharType="end"/>
      </w:r>
      <w:r>
        <w:fldChar w:fldCharType="end"/>
      </w:r>
    </w:p>
    <w:p w14:paraId="3848A35B">
      <w:pPr>
        <w:pStyle w:val="11"/>
        <w:tabs>
          <w:tab w:val="right" w:leader="dot" w:pos="8306"/>
        </w:tabs>
      </w:pPr>
      <w:r>
        <w:fldChar w:fldCharType="begin"/>
      </w:r>
      <w:r>
        <w:instrText xml:space="preserve"> HYPERLINK \l _Toc11457 </w:instrText>
      </w:r>
      <w:r>
        <w:fldChar w:fldCharType="separate"/>
      </w:r>
      <w:r>
        <w:rPr>
          <w:rFonts w:hint="eastAsia"/>
        </w:rPr>
        <w:t xml:space="preserve">1.1 </w:t>
      </w:r>
      <w:r>
        <w:rPr>
          <w:rFonts w:hint="default"/>
        </w:rPr>
        <w:t>仪器设备</w:t>
      </w:r>
      <w:r>
        <w:tab/>
      </w:r>
      <w:r>
        <w:fldChar w:fldCharType="begin"/>
      </w:r>
      <w:r>
        <w:instrText xml:space="preserve"> PAGEREF _Toc11457 \h </w:instrText>
      </w:r>
      <w:r>
        <w:fldChar w:fldCharType="separate"/>
      </w:r>
      <w:r>
        <w:t>15</w:t>
      </w:r>
      <w:r>
        <w:fldChar w:fldCharType="end"/>
      </w:r>
      <w:r>
        <w:fldChar w:fldCharType="end"/>
      </w:r>
    </w:p>
    <w:p w14:paraId="6896246D">
      <w:pPr>
        <w:pStyle w:val="11"/>
        <w:tabs>
          <w:tab w:val="right" w:leader="dot" w:pos="8306"/>
        </w:tabs>
      </w:pPr>
      <w:r>
        <w:fldChar w:fldCharType="begin"/>
      </w:r>
      <w:r>
        <w:instrText xml:space="preserve"> HYPERLINK \l _Toc29987 </w:instrText>
      </w:r>
      <w:r>
        <w:fldChar w:fldCharType="separate"/>
      </w:r>
      <w:r>
        <w:rPr>
          <w:rFonts w:hint="eastAsia"/>
        </w:rPr>
        <w:t xml:space="preserve">1.2 </w:t>
      </w:r>
      <w:r>
        <w:rPr>
          <w:rFonts w:hint="default"/>
        </w:rPr>
        <w:t>材料与试剂</w:t>
      </w:r>
      <w:r>
        <w:tab/>
      </w:r>
      <w:r>
        <w:fldChar w:fldCharType="begin"/>
      </w:r>
      <w:r>
        <w:instrText xml:space="preserve"> PAGEREF _Toc29987 \h </w:instrText>
      </w:r>
      <w:r>
        <w:fldChar w:fldCharType="separate"/>
      </w:r>
      <w:r>
        <w:t>15</w:t>
      </w:r>
      <w:r>
        <w:fldChar w:fldCharType="end"/>
      </w:r>
      <w:r>
        <w:fldChar w:fldCharType="end"/>
      </w:r>
    </w:p>
    <w:p w14:paraId="5C85EC8C">
      <w:pPr>
        <w:pStyle w:val="10"/>
        <w:tabs>
          <w:tab w:val="right" w:leader="dot" w:pos="8306"/>
        </w:tabs>
      </w:pPr>
      <w:r>
        <w:fldChar w:fldCharType="begin"/>
      </w:r>
      <w:r>
        <w:instrText xml:space="preserve"> HYPERLINK \l _Toc25196 </w:instrText>
      </w:r>
      <w:r>
        <w:fldChar w:fldCharType="separate"/>
      </w:r>
      <w:r>
        <w:rPr>
          <w:rFonts w:hint="eastAsia"/>
        </w:rPr>
        <w:t xml:space="preserve">2 </w:t>
      </w:r>
      <w:r>
        <w:t>方法与结果</w:t>
      </w:r>
      <w:r>
        <w:tab/>
      </w:r>
      <w:r>
        <w:fldChar w:fldCharType="begin"/>
      </w:r>
      <w:r>
        <w:instrText xml:space="preserve"> PAGEREF _Toc25196 \h </w:instrText>
      </w:r>
      <w:r>
        <w:fldChar w:fldCharType="separate"/>
      </w:r>
      <w:r>
        <w:t>17</w:t>
      </w:r>
      <w:r>
        <w:fldChar w:fldCharType="end"/>
      </w:r>
      <w:r>
        <w:fldChar w:fldCharType="end"/>
      </w:r>
    </w:p>
    <w:p w14:paraId="1013402D">
      <w:pPr>
        <w:pStyle w:val="11"/>
        <w:tabs>
          <w:tab w:val="right" w:leader="dot" w:pos="8306"/>
        </w:tabs>
      </w:pPr>
      <w:r>
        <w:fldChar w:fldCharType="begin"/>
      </w:r>
      <w:r>
        <w:instrText xml:space="preserve"> HYPERLINK \l _Toc23923 </w:instrText>
      </w:r>
      <w:r>
        <w:fldChar w:fldCharType="separate"/>
      </w:r>
      <w:r>
        <w:rPr>
          <w:rFonts w:hint="eastAsia"/>
        </w:rPr>
        <w:t xml:space="preserve">2.1 </w:t>
      </w:r>
      <w:r>
        <w:t>中间体I的合成</w:t>
      </w:r>
      <w:r>
        <w:tab/>
      </w:r>
      <w:r>
        <w:fldChar w:fldCharType="begin"/>
      </w:r>
      <w:r>
        <w:instrText xml:space="preserve"> PAGEREF _Toc23923 \h </w:instrText>
      </w:r>
      <w:r>
        <w:fldChar w:fldCharType="separate"/>
      </w:r>
      <w:r>
        <w:t>17</w:t>
      </w:r>
      <w:r>
        <w:fldChar w:fldCharType="end"/>
      </w:r>
      <w:r>
        <w:fldChar w:fldCharType="end"/>
      </w:r>
    </w:p>
    <w:p w14:paraId="26E5E0C4">
      <w:pPr>
        <w:pStyle w:val="11"/>
        <w:tabs>
          <w:tab w:val="right" w:leader="dot" w:pos="8306"/>
        </w:tabs>
      </w:pPr>
      <w:r>
        <w:fldChar w:fldCharType="begin"/>
      </w:r>
      <w:r>
        <w:instrText xml:space="preserve"> HYPERLINK \l _Toc8493 </w:instrText>
      </w:r>
      <w:r>
        <w:fldChar w:fldCharType="separate"/>
      </w:r>
      <w:r>
        <w:rPr>
          <w:rFonts w:hint="eastAsia"/>
        </w:rPr>
        <w:t xml:space="preserve">2.2 </w:t>
      </w:r>
      <w:r>
        <w:t>中间体Ⅱ的合成</w:t>
      </w:r>
      <w:r>
        <w:tab/>
      </w:r>
      <w:r>
        <w:fldChar w:fldCharType="begin"/>
      </w:r>
      <w:r>
        <w:instrText xml:space="preserve"> PAGEREF _Toc8493 \h </w:instrText>
      </w:r>
      <w:r>
        <w:fldChar w:fldCharType="separate"/>
      </w:r>
      <w:r>
        <w:t>18</w:t>
      </w:r>
      <w:r>
        <w:fldChar w:fldCharType="end"/>
      </w:r>
      <w:r>
        <w:fldChar w:fldCharType="end"/>
      </w:r>
    </w:p>
    <w:p w14:paraId="0EA9C72D">
      <w:pPr>
        <w:pStyle w:val="11"/>
        <w:tabs>
          <w:tab w:val="right" w:leader="dot" w:pos="8306"/>
        </w:tabs>
      </w:pPr>
      <w:r>
        <w:fldChar w:fldCharType="begin"/>
      </w:r>
      <w:r>
        <w:instrText xml:space="preserve"> HYPERLINK \l _Toc32580 </w:instrText>
      </w:r>
      <w:r>
        <w:fldChar w:fldCharType="separate"/>
      </w:r>
      <w:r>
        <w:rPr>
          <w:rFonts w:hint="eastAsia"/>
        </w:rPr>
        <w:t xml:space="preserve">2.3 </w:t>
      </w:r>
      <w:r>
        <w:t>目标产物的合成</w:t>
      </w:r>
      <w:r>
        <w:tab/>
      </w:r>
      <w:r>
        <w:fldChar w:fldCharType="begin"/>
      </w:r>
      <w:r>
        <w:instrText xml:space="preserve"> PAGEREF _Toc32580 \h </w:instrText>
      </w:r>
      <w:r>
        <w:fldChar w:fldCharType="separate"/>
      </w:r>
      <w:r>
        <w:t>20</w:t>
      </w:r>
      <w:r>
        <w:fldChar w:fldCharType="end"/>
      </w:r>
      <w:r>
        <w:fldChar w:fldCharType="end"/>
      </w:r>
    </w:p>
    <w:p w14:paraId="7121416B">
      <w:pPr>
        <w:pStyle w:val="10"/>
        <w:tabs>
          <w:tab w:val="right" w:leader="dot" w:pos="8306"/>
        </w:tabs>
      </w:pPr>
      <w:r>
        <w:fldChar w:fldCharType="begin"/>
      </w:r>
      <w:r>
        <w:instrText xml:space="preserve"> HYPERLINK \l _Toc21023 </w:instrText>
      </w:r>
      <w:r>
        <w:fldChar w:fldCharType="separate"/>
      </w:r>
      <w:r>
        <w:rPr>
          <w:rFonts w:hint="eastAsia" w:cstheme="minorBidi"/>
        </w:rPr>
        <w:t xml:space="preserve">3 </w:t>
      </w:r>
      <w:r>
        <w:t>总结</w:t>
      </w:r>
      <w:r>
        <w:tab/>
      </w:r>
      <w:r>
        <w:fldChar w:fldCharType="begin"/>
      </w:r>
      <w:r>
        <w:instrText xml:space="preserve"> PAGEREF _Toc21023 \h </w:instrText>
      </w:r>
      <w:r>
        <w:fldChar w:fldCharType="separate"/>
      </w:r>
      <w:r>
        <w:t>23</w:t>
      </w:r>
      <w:r>
        <w:fldChar w:fldCharType="end"/>
      </w:r>
      <w:r>
        <w:fldChar w:fldCharType="end"/>
      </w:r>
    </w:p>
    <w:p w14:paraId="021DD21A">
      <w:pPr>
        <w:pStyle w:val="10"/>
        <w:tabs>
          <w:tab w:val="right" w:leader="dot" w:pos="8306"/>
        </w:tabs>
      </w:pPr>
      <w:r>
        <w:fldChar w:fldCharType="begin"/>
      </w:r>
      <w:r>
        <w:instrText xml:space="preserve"> HYPERLINK \l _Toc5983 </w:instrText>
      </w:r>
      <w:r>
        <w:fldChar w:fldCharType="separate"/>
      </w:r>
      <w:r>
        <w:t>参考文献</w:t>
      </w:r>
      <w:r>
        <w:tab/>
      </w:r>
      <w:r>
        <w:fldChar w:fldCharType="begin"/>
      </w:r>
      <w:r>
        <w:instrText xml:space="preserve"> PAGEREF _Toc5983 \h </w:instrText>
      </w:r>
      <w:r>
        <w:fldChar w:fldCharType="separate"/>
      </w:r>
      <w:r>
        <w:t>25</w:t>
      </w:r>
      <w:r>
        <w:fldChar w:fldCharType="end"/>
      </w:r>
      <w:r>
        <w:fldChar w:fldCharType="end"/>
      </w:r>
    </w:p>
    <w:p w14:paraId="50A8113C">
      <w:pPr>
        <w:pStyle w:val="10"/>
        <w:tabs>
          <w:tab w:val="right" w:leader="dot" w:pos="8306"/>
        </w:tabs>
      </w:pPr>
      <w:r>
        <w:fldChar w:fldCharType="begin"/>
      </w:r>
      <w:r>
        <w:instrText xml:space="preserve"> HYPERLINK \l _Toc16027 </w:instrText>
      </w:r>
      <w:r>
        <w:fldChar w:fldCharType="separate"/>
      </w:r>
      <w:r>
        <w:rPr>
          <w:rFonts w:hint="eastAsia"/>
        </w:rPr>
        <w:t>致  谢</w:t>
      </w:r>
      <w:r>
        <w:tab/>
      </w:r>
      <w:r>
        <w:fldChar w:fldCharType="begin"/>
      </w:r>
      <w:r>
        <w:instrText xml:space="preserve"> PAGEREF _Toc16027 \h </w:instrText>
      </w:r>
      <w:r>
        <w:fldChar w:fldCharType="separate"/>
      </w:r>
      <w:r>
        <w:t>28</w:t>
      </w:r>
      <w:r>
        <w:fldChar w:fldCharType="end"/>
      </w:r>
      <w:r>
        <w:fldChar w:fldCharType="end"/>
      </w:r>
    </w:p>
    <w:p w14:paraId="78721060">
      <w:pPr>
        <w:pStyle w:val="10"/>
        <w:tabs>
          <w:tab w:val="right" w:leader="dot" w:pos="8306"/>
        </w:tabs>
      </w:pPr>
      <w:r>
        <w:fldChar w:fldCharType="begin"/>
      </w:r>
      <w:r>
        <w:instrText xml:space="preserve"> HYPERLINK \l _Toc4770 </w:instrText>
      </w:r>
      <w:r>
        <w:fldChar w:fldCharType="separate"/>
      </w:r>
      <w:r>
        <w:rPr>
          <w:rFonts w:hint="eastAsia"/>
          <w:lang w:val="en-US" w:eastAsia="zh-CN"/>
        </w:rPr>
        <w:t>附 图</w:t>
      </w:r>
      <w:r>
        <w:tab/>
      </w:r>
      <w:r>
        <w:fldChar w:fldCharType="begin"/>
      </w:r>
      <w:r>
        <w:instrText xml:space="preserve"> PAGEREF _Toc4770 \h </w:instrText>
      </w:r>
      <w:r>
        <w:fldChar w:fldCharType="separate"/>
      </w:r>
      <w:r>
        <w:t>29</w:t>
      </w:r>
      <w:r>
        <w:fldChar w:fldCharType="end"/>
      </w:r>
      <w:r>
        <w:fldChar w:fldCharType="end"/>
      </w:r>
    </w:p>
    <w:p w14:paraId="74009E5D">
      <w:pPr>
        <w:pStyle w:val="2"/>
        <w:ind w:firstLine="600" w:firstLineChars="0"/>
        <w:jc w:val="center"/>
        <w:sectPr>
          <w:headerReference r:id="rId11" w:type="default"/>
          <w:footerReference r:id="rId12" w:type="default"/>
          <w:pgSz w:w="11906" w:h="16838"/>
          <w:pgMar w:top="1440" w:right="1800" w:bottom="1440" w:left="1800" w:header="851" w:footer="992" w:gutter="0"/>
          <w:pgNumType w:fmt="upperRoman" w:start="1"/>
          <w:cols w:space="425" w:num="1"/>
          <w:docGrid w:type="lines" w:linePitch="312" w:charSpace="0"/>
        </w:sectPr>
      </w:pPr>
      <w:r>
        <w:fldChar w:fldCharType="end"/>
      </w:r>
    </w:p>
    <w:p w14:paraId="588633F9">
      <w:pPr>
        <w:ind w:firstLine="0" w:firstLineChars="0"/>
        <w:jc w:val="center"/>
        <w:rPr>
          <w:rFonts w:hint="eastAsia" w:ascii="黑体" w:hAnsi="黑体" w:eastAsia="黑体"/>
          <w:sz w:val="36"/>
          <w:szCs w:val="36"/>
        </w:rPr>
      </w:pPr>
      <w:r>
        <w:rPr>
          <w:rFonts w:ascii="黑体" w:hAnsi="黑体" w:eastAsia="黑体"/>
          <w:sz w:val="36"/>
          <w:szCs w:val="36"/>
        </w:rPr>
        <w:t>MARK抑制剂的合成方法研究</w:t>
      </w:r>
    </w:p>
    <w:p w14:paraId="4D8F3C66">
      <w:pPr>
        <w:pStyle w:val="2"/>
        <w:spacing w:before="312" w:beforeLines="100" w:after="0"/>
        <w:ind w:firstLine="0" w:firstLineChars="0"/>
        <w:jc w:val="center"/>
        <w:rPr>
          <w:rFonts w:cs="Times New Roman"/>
          <w:szCs w:val="44"/>
        </w:rPr>
      </w:pPr>
      <w:bookmarkStart w:id="10" w:name="_Toc31696"/>
      <w:r>
        <w:rPr>
          <w:rFonts w:cs="Times New Roman"/>
          <w:szCs w:val="44"/>
        </w:rPr>
        <w:t>摘 要</w:t>
      </w:r>
      <w:bookmarkEnd w:id="10"/>
    </w:p>
    <w:p w14:paraId="3C811838">
      <w:pPr>
        <w:adjustRightInd w:val="0"/>
        <w:snapToGrid w:val="0"/>
        <w:ind w:firstLine="0" w:firstLineChars="0"/>
        <w:rPr>
          <w:rFonts w:cs="Times New Roman"/>
        </w:rPr>
      </w:pPr>
      <w:r>
        <w:rPr>
          <w:rFonts w:cs="Times New Roman"/>
          <w:b/>
          <w:bCs/>
        </w:rPr>
        <w:t>目的：</w:t>
      </w:r>
      <w:r>
        <w:rPr>
          <w:rFonts w:cs="Times New Roman"/>
        </w:rPr>
        <w:t>微管亲和力调节激酶（MARK）是调控Tau蛋白磷酸化及微管稳态的关键激酶，在阿尔兹海默症等Tau病的病理进程中起核心作用，已成为极具潜力的药物靶点。嘧啶类骨架结构具有与MARK激酶ATP结合口袋高效结合的潜力。为此，我们以前期获得的先导化合物为基础，对合成路线进行分析与设计，系统的研究了嘧啶类MARK抑制剂的合成方法，最终顺利得到了一系列目标产物。</w:t>
      </w:r>
      <w:r>
        <w:rPr>
          <w:rFonts w:cs="Times New Roman"/>
          <w:b/>
          <w:bCs/>
        </w:rPr>
        <w:t>方法：</w:t>
      </w:r>
      <w:r>
        <w:rPr>
          <w:rFonts w:cs="Times New Roman"/>
        </w:rPr>
        <w:t>以2-甲硫基-4-氯嘧啶-5-甲酸乙酯为起始原料，首先与盐酸羟胺反应得到中间体Ⅰ；中间体Ⅰ与不同取代的芳胺（如间氟苯胺、对甲氧基苯胺等）发生缩合反应，制得中间体Ⅱ；中间体Ⅱ在冰浴条件下与丙酰氯反应，引入丙酰胺结构，制备得到最终的目标产物。同时，利用1H-NMR、13C-NMR对所有目标产物的结构进行了确证。</w:t>
      </w:r>
      <w:r>
        <w:rPr>
          <w:rFonts w:cs="Times New Roman"/>
          <w:b/>
          <w:bCs/>
        </w:rPr>
        <w:t>结果：</w:t>
      </w:r>
      <w:r>
        <w:rPr>
          <w:rFonts w:cs="Times New Roman"/>
        </w:rPr>
        <w:t>共制备得到了9个目标化合物，经1H-NMR、13C-NMR鉴定，目标产物的结构均正确，总产率在78.5%～90.5%之间。</w:t>
      </w:r>
      <w:r>
        <w:rPr>
          <w:rFonts w:cs="Times New Roman"/>
          <w:b/>
          <w:bCs/>
        </w:rPr>
        <w:t>结论：</w:t>
      </w:r>
      <w:r>
        <w:rPr>
          <w:rFonts w:cs="Times New Roman"/>
        </w:rPr>
        <w:t>本论文开发的合成方法可行，反应条件温和，操作便捷，收率较高，且能够通过不同芳胺的取代引入结构多样性，奠定了后续该类化合物的结构修饰和化学合成的坚实理论实践基础。</w:t>
      </w:r>
    </w:p>
    <w:p w14:paraId="03A2E5F7">
      <w:pPr>
        <w:ind w:firstLine="600"/>
      </w:pPr>
      <w:r>
        <w:rPr>
          <w:rFonts w:ascii="黑体" w:hAnsi="黑体" w:eastAsia="黑体"/>
          <w:sz w:val="30"/>
          <w:szCs w:val="30"/>
        </w:rPr>
        <w:t>关键词：</w:t>
      </w:r>
      <w:r>
        <w:t>嘧啶类化合物，MARK抑制剂，阿尔兹海默症，微管亲和力调节激酶</w:t>
      </w:r>
    </w:p>
    <w:p w14:paraId="25B3DE13">
      <w:pPr>
        <w:pStyle w:val="5"/>
        <w:widowControl/>
        <w:ind w:firstLine="560"/>
        <w:rPr>
          <w:rFonts w:hint="default"/>
        </w:rPr>
      </w:pPr>
    </w:p>
    <w:p w14:paraId="39F4D78B">
      <w:pPr>
        <w:pStyle w:val="5"/>
        <w:widowControl/>
        <w:ind w:firstLine="0" w:firstLineChars="0"/>
        <w:rPr>
          <w:rFonts w:hint="default"/>
        </w:rPr>
      </w:pPr>
    </w:p>
    <w:p w14:paraId="54D800CA">
      <w:pPr>
        <w:ind w:firstLine="0" w:firstLineChars="0"/>
      </w:pPr>
    </w:p>
    <w:p w14:paraId="164AED8A">
      <w:pPr>
        <w:ind w:firstLine="0" w:firstLineChars="0"/>
      </w:pPr>
    </w:p>
    <w:p w14:paraId="2389431B">
      <w:pPr>
        <w:ind w:firstLine="0" w:firstLineChars="0"/>
      </w:pPr>
    </w:p>
    <w:p w14:paraId="56898494">
      <w:pPr>
        <w:ind w:firstLine="480"/>
        <w:jc w:val="center"/>
      </w:pPr>
    </w:p>
    <w:p w14:paraId="4266287B">
      <w:pPr>
        <w:ind w:firstLine="480"/>
      </w:pPr>
    </w:p>
    <w:p w14:paraId="3E36D36C">
      <w:pPr>
        <w:ind w:firstLine="0" w:firstLineChars="0"/>
        <w:rPr>
          <w:rFonts w:cs="Times New Roman"/>
        </w:rPr>
      </w:pPr>
      <w:r>
        <w:rPr>
          <w:rFonts w:cs="Times New Roman"/>
        </w:rPr>
        <w:br w:type="page"/>
      </w:r>
    </w:p>
    <w:p w14:paraId="0B98255A">
      <w:pPr>
        <w:spacing w:before="312" w:beforeLines="100"/>
        <w:ind w:left="238" w:right="238" w:firstLine="0" w:firstLineChars="0"/>
        <w:jc w:val="center"/>
        <w:rPr>
          <w:rFonts w:cs="Times New Roman"/>
          <w:color w:val="000000"/>
          <w:sz w:val="36"/>
          <w:szCs w:val="36"/>
        </w:rPr>
      </w:pPr>
      <w:r>
        <w:rPr>
          <w:rFonts w:cs="Times New Roman"/>
          <w:color w:val="000000"/>
          <w:sz w:val="36"/>
          <w:szCs w:val="36"/>
        </w:rPr>
        <w:t>Study on the Synthesis of MARK Inhibitors</w:t>
      </w:r>
    </w:p>
    <w:p w14:paraId="7A4EC4C4">
      <w:pPr>
        <w:pStyle w:val="2"/>
        <w:spacing w:line="578" w:lineRule="auto"/>
        <w:ind w:left="432" w:firstLine="0" w:firstLineChars="0"/>
        <w:jc w:val="center"/>
        <w:rPr>
          <w:rFonts w:cs="Times New Roman"/>
        </w:rPr>
      </w:pPr>
      <w:bookmarkStart w:id="11" w:name="_Toc16198"/>
      <w:r>
        <w:rPr>
          <w:rFonts w:cs="Times New Roman"/>
        </w:rPr>
        <w:t>Abstract</w:t>
      </w:r>
      <w:bookmarkEnd w:id="11"/>
    </w:p>
    <w:p w14:paraId="2926DC7D">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cs="Times New Roman"/>
          <w:color w:val="000000"/>
        </w:rPr>
      </w:pPr>
      <w:r>
        <w:rPr>
          <w:rFonts w:cs="Times New Roman"/>
          <w:b/>
          <w:bCs/>
          <w:color w:val="000000"/>
        </w:rPr>
        <w:t>Objective:</w:t>
      </w:r>
      <w:r>
        <w:rPr>
          <w:rFonts w:cs="Times New Roman"/>
          <w:color w:val="000000"/>
        </w:rPr>
        <w:t xml:space="preserve"> Microtubule affinity-regulating kinase (MARK) is a key kinase regulating Tau protein phosphorylation and microtubule homeostasis. It plays a central role in the pathological process of Tauopathies such as Alzheimer’s disease and has become a promising drug target. Pyrimidine scaffolds have the potential to bind efficiently to the ATP-binding pocket of MARK kinase. Based on the lead compounds obtained in the early stage, we analyzed and designed the synthetic route, systematically studied the synthesis method of pyrimidine MARK inhibitors, and successfully obtained a series of target products. </w:t>
      </w:r>
      <w:r>
        <w:rPr>
          <w:rFonts w:cs="Times New Roman"/>
          <w:b/>
          <w:bCs/>
          <w:color w:val="000000"/>
        </w:rPr>
        <w:t>Methods:</w:t>
      </w:r>
      <w:r>
        <w:rPr>
          <w:rFonts w:cs="Times New Roman"/>
          <w:color w:val="000000"/>
        </w:rPr>
        <w:t xml:space="preserve"> Ethyl 2-(methylthio)-4-chloropyrimidine-5-carboxylate was used as the starting material, which first reacted with hydroxylamine hydrochloride to obtain intermediate Ⅰ. Intermediate Ⅰ was condensed with different substituted aromatic amines (such as m-fluoroaniline, p-methoxyaniline, etc.) to prepare intermediate Ⅱ. Intermediate Ⅱ reacted with propionyl chloride under ice bath to introduce propanamide structure and obtain the final target product. The structures of all target products were confirmed by 1H-NMR and 13C-NMR. </w:t>
      </w:r>
      <w:r>
        <w:rPr>
          <w:rFonts w:cs="Times New Roman"/>
          <w:b/>
          <w:bCs/>
          <w:color w:val="000000"/>
        </w:rPr>
        <w:t xml:space="preserve">Results: </w:t>
      </w:r>
      <w:r>
        <w:rPr>
          <w:rFonts w:cs="Times New Roman"/>
          <w:color w:val="000000"/>
        </w:rPr>
        <w:t>A total of 9 target compounds were prepared. Identified by 1H-NMR and 13C-NMR, the structures of the target products were correct, and the total yield ranged from 78.5% to 90.5%.</w:t>
      </w:r>
      <w:r>
        <w:rPr>
          <w:rFonts w:cs="Times New Roman"/>
          <w:b/>
          <w:bCs/>
          <w:color w:val="000000"/>
        </w:rPr>
        <w:t>Conclusion:</w:t>
      </w:r>
      <w:r>
        <w:rPr>
          <w:rFonts w:cs="Times New Roman"/>
          <w:color w:val="000000"/>
        </w:rPr>
        <w:t xml:space="preserve"> The synthesis method developed in this paper is feasible with mild reaction conditions, convenient operation and high yield. Structural diversity can be introduced through substitution of different aromatic amines, which lays a solid theoretical and practical foundation for subsequent structural modification and chemical synthesis of such compounds.</w:t>
      </w:r>
    </w:p>
    <w:p w14:paraId="1DF1C877">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cs="Times New Roman"/>
        </w:rPr>
      </w:pPr>
      <w:r>
        <w:rPr>
          <w:rFonts w:cs="Times New Roman"/>
          <w:color w:val="000000"/>
          <w:sz w:val="30"/>
          <w:szCs w:val="30"/>
        </w:rPr>
        <w:t>Key words:</w:t>
      </w:r>
      <w:r>
        <w:t xml:space="preserve"> </w:t>
      </w:r>
      <w:r>
        <w:rPr>
          <w:rFonts w:cs="Times New Roman"/>
        </w:rPr>
        <w:t>Pyrimidine compounds,</w:t>
      </w:r>
      <w:r>
        <w:rPr>
          <w:rFonts w:hint="eastAsia" w:cs="Times New Roman"/>
        </w:rPr>
        <w:t xml:space="preserve"> </w:t>
      </w:r>
      <w:r>
        <w:rPr>
          <w:rFonts w:cs="Times New Roman"/>
        </w:rPr>
        <w:t>MARK inhibitors,</w:t>
      </w:r>
      <w:r>
        <w:rPr>
          <w:rFonts w:hint="eastAsia" w:cs="Times New Roman"/>
        </w:rPr>
        <w:t xml:space="preserve"> </w:t>
      </w:r>
      <w:r>
        <w:rPr>
          <w:rFonts w:cs="Times New Roman"/>
        </w:rPr>
        <w:t>Alzheimer’s disease,</w:t>
      </w:r>
      <w:r>
        <w:rPr>
          <w:rFonts w:hint="eastAsia" w:cs="Times New Roman"/>
        </w:rPr>
        <w:t xml:space="preserve"> </w:t>
      </w:r>
      <w:r>
        <w:rPr>
          <w:rFonts w:cs="Times New Roman"/>
        </w:rPr>
        <w:t>Microtubule affinity-regulating kinase</w:t>
      </w:r>
      <w:r>
        <w:rPr>
          <w:rFonts w:cs="Times New Roman"/>
          <w:kern w:val="0"/>
        </w:rPr>
        <w:br w:type="page"/>
      </w:r>
    </w:p>
    <w:p w14:paraId="0E977D04">
      <w:pPr>
        <w:pStyle w:val="5"/>
        <w:widowControl/>
        <w:ind w:firstLine="0" w:firstLineChars="0"/>
        <w:rPr>
          <w:rFonts w:hint="default"/>
        </w:rPr>
      </w:pPr>
    </w:p>
    <w:p w14:paraId="1E496B34">
      <w:pPr>
        <w:pStyle w:val="2"/>
        <w:ind w:firstLine="600"/>
        <w:jc w:val="center"/>
      </w:pPr>
      <w:bookmarkStart w:id="12" w:name="_Toc27749"/>
      <w:r>
        <w:rPr>
          <w:rFonts w:hint="eastAsia"/>
        </w:rPr>
        <w:t xml:space="preserve">第一章  </w:t>
      </w:r>
      <w:r>
        <w:t>MARK（</w:t>
      </w:r>
      <w:r>
        <w:rPr>
          <w:i/>
          <w:iCs/>
        </w:rPr>
        <w:t>Microtubule Affinity-Regulating Kinase</w:t>
      </w:r>
      <w:r>
        <w:t>）抑制剂研究综述</w:t>
      </w:r>
      <w:bookmarkEnd w:id="12"/>
    </w:p>
    <w:p w14:paraId="6E3F8632">
      <w:pPr>
        <w:pStyle w:val="2"/>
        <w:numPr>
          <w:ilvl w:val="0"/>
          <w:numId w:val="1"/>
        </w:numPr>
        <w:spacing w:line="578" w:lineRule="auto"/>
        <w:ind w:right="240" w:firstLineChars="0"/>
        <w:rPr>
          <w:rFonts w:cs="Times New Roman"/>
          <w:szCs w:val="44"/>
        </w:rPr>
      </w:pPr>
      <w:bookmarkStart w:id="13" w:name="_Toc7026"/>
      <w:r>
        <w:rPr>
          <w:rFonts w:cs="Times New Roman"/>
          <w:szCs w:val="44"/>
        </w:rPr>
        <w:t>MARK激酶家族的结构特征与生物学功能</w:t>
      </w:r>
      <w:bookmarkEnd w:id="13"/>
    </w:p>
    <w:p w14:paraId="0626D979">
      <w:pPr>
        <w:adjustRightInd w:val="0"/>
        <w:snapToGrid w:val="0"/>
        <w:ind w:firstLine="480"/>
        <w:rPr>
          <w:rFonts w:cs="Times New Roman"/>
          <w:szCs w:val="20"/>
        </w:rPr>
      </w:pPr>
      <w:r>
        <w:rPr>
          <w:rFonts w:cs="Times New Roman"/>
          <w:szCs w:val="20"/>
        </w:rPr>
        <w:t>微管亲和力调节激酶（Microtubule Affinity-Regulating Kinase，MARK）是一类以调控微管动态稳定性为核心功能的丝氨酸/苏氨酸蛋白激酶。该家族能够特异性磷酸化微管相关蛋白Tau中的KXGS基序，从而降低Tau与微管的结合亲和力，改变微管稳定状态并影响细胞骨架结构</w:t>
      </w:r>
      <w:r>
        <w:rPr>
          <w:rFonts w:cs="Times New Roman"/>
          <w:szCs w:val="20"/>
          <w:vertAlign w:val="superscript"/>
        </w:rPr>
        <w:t>[1]</w:t>
      </w:r>
      <w:r>
        <w:rPr>
          <w:rFonts w:cs="Times New Roman"/>
          <w:szCs w:val="20"/>
        </w:rPr>
        <w:t>。这一作用使MARK成为连接细胞骨架调控与神经退行性疾病的重要分子节点。</w:t>
      </w:r>
    </w:p>
    <w:p w14:paraId="5637E89A">
      <w:pPr>
        <w:adjustRightInd w:val="0"/>
        <w:snapToGrid w:val="0"/>
        <w:ind w:firstLine="480"/>
        <w:rPr>
          <w:rFonts w:hint="eastAsia" w:cs="Times New Roman"/>
          <w:szCs w:val="20"/>
        </w:rPr>
      </w:pPr>
      <w:r>
        <w:rPr>
          <w:rFonts w:cs="Times New Roman"/>
          <w:szCs w:val="20"/>
        </w:rPr>
        <w:t>哺乳动物中MARK家族包括MARK1、MARK2、MARK3和MARK4四种同源成员。各亚型在氨基酸序列上具有较高保守性，但在组织分布和亚细胞定位方面存在明显差异。</w:t>
      </w:r>
      <w:r>
        <w:rPr>
          <w:rFonts w:hint="eastAsia" w:cs="Times New Roman"/>
          <w:szCs w:val="20"/>
        </w:rPr>
        <w:t>MARK4不只磷酸化Tau，也作用于MAP2、MAP4等多种微管相关蛋白；有意思的是，它在细胞中定位跟微管网络和中心体关系密切，借助这种特征定性位，参与细胞骨架组织和细胞极性维持</w:t>
      </w:r>
      <w:r>
        <w:rPr>
          <w:rFonts w:hint="eastAsia" w:cs="Times New Roman"/>
          <w:szCs w:val="20"/>
          <w:vertAlign w:val="superscript"/>
        </w:rPr>
        <w:fldChar w:fldCharType="begin"/>
      </w:r>
      <w:r>
        <w:rPr>
          <w:rFonts w:hint="eastAsia" w:cs="Times New Roman"/>
          <w:szCs w:val="20"/>
          <w:vertAlign w:val="superscript"/>
        </w:rPr>
        <w:instrText xml:space="preserve"> REF _Ref2576 \r \h </w:instrText>
      </w:r>
      <w:r>
        <w:rPr>
          <w:rFonts w:hint="eastAsia" w:cs="Times New Roman"/>
          <w:szCs w:val="20"/>
          <w:vertAlign w:val="superscript"/>
        </w:rPr>
        <w:fldChar w:fldCharType="separate"/>
      </w:r>
      <w:r>
        <w:rPr>
          <w:rFonts w:hint="eastAsia" w:cs="Times New Roman"/>
          <w:szCs w:val="20"/>
          <w:vertAlign w:val="superscript"/>
        </w:rPr>
        <w:t>[2]</w:t>
      </w:r>
      <w:r>
        <w:rPr>
          <w:rFonts w:hint="eastAsia" w:cs="Times New Roman"/>
          <w:szCs w:val="20"/>
          <w:vertAlign w:val="superscript"/>
        </w:rPr>
        <w:fldChar w:fldCharType="end"/>
      </w:r>
      <w:r>
        <w:rPr>
          <w:rFonts w:hint="eastAsia" w:cs="Times New Roman"/>
          <w:szCs w:val="20"/>
        </w:rPr>
        <w:t>。</w:t>
      </w:r>
    </w:p>
    <w:p w14:paraId="719475F9">
      <w:pPr>
        <w:adjustRightInd w:val="0"/>
        <w:snapToGrid w:val="0"/>
        <w:ind w:firstLine="480"/>
        <w:rPr>
          <w:rFonts w:cs="Times New Roman"/>
          <w:szCs w:val="20"/>
        </w:rPr>
      </w:pPr>
      <w:r>
        <w:rPr>
          <w:rFonts w:hint="eastAsia" w:cs="Times New Roman"/>
          <w:szCs w:val="20"/>
        </w:rPr>
        <w:t>结构方面，MARK蛋白一般由三块构成：一是N端激酶催化结构域，二是中部调控区，三是C端激酶相关结构域（也叫KA1），其中激酶催化结构域负责底物磷酸化，调控区承担活性调节，至于KA1结构域，则在维持蛋白稳定性和结合膜或细胞器上扮演重要角色</w:t>
      </w:r>
      <w:r>
        <w:rPr>
          <w:rFonts w:hint="eastAsia" w:cs="Times New Roman"/>
          <w:szCs w:val="20"/>
          <w:vertAlign w:val="superscript"/>
        </w:rPr>
        <w:fldChar w:fldCharType="begin"/>
      </w:r>
      <w:r>
        <w:rPr>
          <w:rFonts w:hint="eastAsia" w:cs="Times New Roman"/>
          <w:szCs w:val="20"/>
          <w:vertAlign w:val="superscript"/>
        </w:rPr>
        <w:instrText xml:space="preserve"> REF _Ref3402 \r \h </w:instrText>
      </w:r>
      <w:r>
        <w:rPr>
          <w:rFonts w:hint="eastAsia" w:cs="Times New Roman"/>
          <w:szCs w:val="20"/>
          <w:vertAlign w:val="superscript"/>
        </w:rPr>
        <w:fldChar w:fldCharType="separate"/>
      </w:r>
      <w:r>
        <w:rPr>
          <w:rFonts w:hint="eastAsia" w:cs="Times New Roman"/>
          <w:szCs w:val="20"/>
          <w:vertAlign w:val="superscript"/>
        </w:rPr>
        <w:t>[3]</w:t>
      </w:r>
      <w:r>
        <w:rPr>
          <w:rFonts w:hint="eastAsia" w:cs="Times New Roman"/>
          <w:szCs w:val="20"/>
          <w:vertAlign w:val="superscript"/>
        </w:rPr>
        <w:fldChar w:fldCharType="end"/>
      </w:r>
      <w:r>
        <w:rPr>
          <w:rFonts w:hint="eastAsia" w:cs="Times New Roman"/>
          <w:szCs w:val="20"/>
        </w:rPr>
        <w:t>；可以说，正是这种结构组合给MARK在细胞内精确定位和功能调控提供分子基础。</w:t>
      </w:r>
    </w:p>
    <w:p w14:paraId="705B2846">
      <w:pPr>
        <w:widowControl/>
        <w:autoSpaceDE w:val="0"/>
        <w:ind w:firstLine="0" w:firstLineChars="0"/>
        <w:jc w:val="center"/>
        <w:rPr>
          <w:rFonts w:cs="Times New Roman"/>
        </w:rPr>
      </w:pPr>
      <w:r>
        <w:rPr>
          <w:rFonts w:cs="Times New Roman"/>
        </w:rPr>
        <w:drawing>
          <wp:inline distT="0" distB="0" distL="0" distR="0">
            <wp:extent cx="5461000" cy="4095750"/>
            <wp:effectExtent l="0" t="0" r="635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61000" cy="4095750"/>
                    </a:xfrm>
                    <a:prstGeom prst="rect">
                      <a:avLst/>
                    </a:prstGeom>
                    <a:noFill/>
                    <a:ln>
                      <a:noFill/>
                    </a:ln>
                  </pic:spPr>
                </pic:pic>
              </a:graphicData>
            </a:graphic>
          </wp:inline>
        </w:drawing>
      </w:r>
    </w:p>
    <w:p w14:paraId="3BA5B227">
      <w:pPr>
        <w:pStyle w:val="7"/>
        <w:widowControl/>
        <w:autoSpaceDE w:val="0"/>
        <w:ind w:firstLine="0" w:firstLineChars="0"/>
        <w:jc w:val="center"/>
        <w:rPr>
          <w:rFonts w:ascii="Times New Roman" w:hAnsi="Times New Roman" w:eastAsia="黑体" w:cs="Times New Roman"/>
          <w:sz w:val="21"/>
        </w:rPr>
      </w:pPr>
      <w:r>
        <w:rPr>
          <w:rFonts w:ascii="Times New Roman" w:hAnsi="Times New Roman" w:eastAsia="黑体"/>
          <w:sz w:val="21"/>
        </w:rPr>
        <w:t xml:space="preserve">图1. </w:t>
      </w:r>
      <w:r>
        <w:rPr>
          <w:rFonts w:ascii="Times New Roman" w:hAnsi="Times New Roman" w:eastAsia="黑体"/>
          <w:sz w:val="21"/>
        </w:rPr>
        <w:fldChar w:fldCharType="begin"/>
      </w:r>
      <w:r>
        <w:rPr>
          <w:rFonts w:ascii="Times New Roman" w:hAnsi="Times New Roman" w:eastAsia="黑体"/>
          <w:sz w:val="21"/>
        </w:rPr>
        <w:instrText xml:space="preserve"> SEQ 图1. \* ARABIC </w:instrText>
      </w:r>
      <w:r>
        <w:rPr>
          <w:rFonts w:ascii="Times New Roman" w:hAnsi="Times New Roman" w:eastAsia="黑体"/>
          <w:sz w:val="21"/>
        </w:rPr>
        <w:fldChar w:fldCharType="separate"/>
      </w:r>
      <w:r>
        <w:rPr>
          <w:rFonts w:ascii="Times New Roman" w:hAnsi="Times New Roman" w:eastAsia="黑体"/>
          <w:sz w:val="21"/>
        </w:rPr>
        <w:t>1</w:t>
      </w:r>
      <w:r>
        <w:rPr>
          <w:rFonts w:ascii="Times New Roman" w:hAnsi="Times New Roman" w:eastAsia="黑体"/>
          <w:sz w:val="21"/>
        </w:rPr>
        <w:fldChar w:fldCharType="end"/>
      </w:r>
      <w:r>
        <w:rPr>
          <w:rFonts w:hint="eastAsia" w:ascii="Times New Roman" w:hAnsi="Times New Roman" w:eastAsia="黑体" w:cs="宋体"/>
          <w:b/>
          <w:bCs/>
          <w:kern w:val="0"/>
          <w:sz w:val="21"/>
          <w:szCs w:val="24"/>
        </w:rPr>
        <w:t xml:space="preserve"> MARK蛋白结构域组成示意图</w:t>
      </w:r>
    </w:p>
    <w:p w14:paraId="434BE969">
      <w:pPr>
        <w:bidi w:val="0"/>
      </w:pPr>
      <w:r>
        <w:rPr>
          <w:rFonts w:hint="default"/>
        </w:rPr>
        <w:t>MARK4在神经系统里表达量不低，还存在好几种剪接异构体；分化神经元中它的表达模式挺有特点——一方面促进神经元成熟，另一方面维系细胞结构。再看细胞周期过程，MARK4表现出动态激活，既参与有丝分裂调控，也介入细胞骨架重排</w:t>
      </w:r>
      <w:r>
        <w:rPr>
          <w:rFonts w:hint="default"/>
          <w:vertAlign w:val="superscript"/>
        </w:rPr>
        <w:fldChar w:fldCharType="begin"/>
      </w:r>
      <w:r>
        <w:rPr>
          <w:rFonts w:hint="default"/>
          <w:vertAlign w:val="superscript"/>
        </w:rPr>
        <w:instrText xml:space="preserve"> REF _Ref3438 \r \h </w:instrText>
      </w:r>
      <w:r>
        <w:rPr>
          <w:rFonts w:hint="default"/>
          <w:vertAlign w:val="superscript"/>
        </w:rPr>
        <w:fldChar w:fldCharType="separate"/>
      </w:r>
      <w:r>
        <w:rPr>
          <w:rFonts w:hint="default"/>
          <w:vertAlign w:val="superscript"/>
        </w:rPr>
        <w:t>[4]</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_Ref3497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rPr>
        <w:t>。</w:t>
      </w:r>
    </w:p>
    <w:p w14:paraId="0F5F77CD">
      <w:pPr>
        <w:bidi w:val="0"/>
        <w:rPr>
          <w:rFonts w:hint="default"/>
        </w:rPr>
      </w:pPr>
      <w:r>
        <w:rPr>
          <w:rFonts w:hint="default"/>
        </w:rPr>
        <w:t>除了刚才说的微管调控，MARK4还掺和进不少细胞信号通路；举个例子，它通过抑制mTORC1这条通路来调节细胞生长与代谢，对维持细胞代谢稳态扮演着重要角色</w:t>
      </w:r>
      <w:r>
        <w:rPr>
          <w:rFonts w:hint="default"/>
          <w:vertAlign w:val="superscript"/>
        </w:rPr>
        <w:fldChar w:fldCharType="begin"/>
      </w:r>
      <w:r>
        <w:rPr>
          <w:rFonts w:hint="default"/>
          <w:vertAlign w:val="superscript"/>
        </w:rPr>
        <w:instrText xml:space="preserve"> REF _Ref3559 \r \h </w:instrText>
      </w:r>
      <w:r>
        <w:rPr>
          <w:rFonts w:hint="default"/>
          <w:vertAlign w:val="superscript"/>
        </w:rPr>
        <w:fldChar w:fldCharType="separate"/>
      </w:r>
      <w:r>
        <w:rPr>
          <w:rFonts w:hint="default"/>
          <w:vertAlign w:val="superscript"/>
        </w:rPr>
        <w:t>[6]</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_Ref3608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rPr>
        <w:t>。另外一个方面：初级纤毛形成也离不开MARK4调控——顺便一提，初级纤毛本身就是微管结构的一种特化形式，这反倒印证了MARK4在微管相关细胞结构调控中处于核心位置</w:t>
      </w:r>
      <w:r>
        <w:rPr>
          <w:rFonts w:hint="default"/>
          <w:vertAlign w:val="superscript"/>
        </w:rPr>
        <w:fldChar w:fldCharType="begin"/>
      </w:r>
      <w:r>
        <w:rPr>
          <w:rFonts w:hint="default"/>
          <w:vertAlign w:val="superscript"/>
        </w:rPr>
        <w:instrText xml:space="preserve"> REF _Ref3631 \r \h </w:instrText>
      </w:r>
      <w:r>
        <w:rPr>
          <w:rFonts w:hint="default"/>
          <w:vertAlign w:val="superscript"/>
        </w:rPr>
        <w:fldChar w:fldCharType="separate"/>
      </w:r>
      <w:r>
        <w:rPr>
          <w:rFonts w:hint="default"/>
          <w:vertAlign w:val="superscript"/>
        </w:rPr>
        <w:t>[8]</w:t>
      </w:r>
      <w:r>
        <w:rPr>
          <w:rFonts w:hint="default"/>
          <w:vertAlign w:val="superscript"/>
        </w:rPr>
        <w:fldChar w:fldCharType="end"/>
      </w:r>
      <w:r>
        <w:rPr>
          <w:rFonts w:hint="default"/>
        </w:rPr>
        <w:t>。</w:t>
      </w:r>
    </w:p>
    <w:p w14:paraId="314AC2DC">
      <w:pPr>
        <w:bidi w:val="0"/>
        <w:rPr>
          <w:rFonts w:hint="default"/>
        </w:rPr>
      </w:pPr>
      <w:r>
        <w:rPr>
          <w:rFonts w:hint="default"/>
        </w:rPr>
        <w:t>那么谁在调节MARK家族活性？多种上游激酶干这个事。比如糖原合成酶激酶3β（GSK3β），它能够磷酸化MARK2的调控位点，从而抑制后者激酶活性，进而参与Tau磷酸化网络的级联调控</w:t>
      </w:r>
      <w:r>
        <w:rPr>
          <w:rFonts w:hint="default"/>
          <w:vertAlign w:val="superscript"/>
        </w:rPr>
        <w:fldChar w:fldCharType="begin"/>
      </w:r>
      <w:r>
        <w:rPr>
          <w:rFonts w:hint="default"/>
          <w:vertAlign w:val="superscript"/>
        </w:rPr>
        <w:instrText xml:space="preserve"> REF _Ref3748 \r \h </w:instrText>
      </w:r>
      <w:r>
        <w:rPr>
          <w:rFonts w:hint="default"/>
          <w:vertAlign w:val="superscript"/>
        </w:rPr>
        <w:fldChar w:fldCharType="separate"/>
      </w:r>
      <w:r>
        <w:rPr>
          <w:rFonts w:hint="default"/>
          <w:vertAlign w:val="superscript"/>
        </w:rPr>
        <w:t>[9]</w:t>
      </w:r>
      <w:r>
        <w:rPr>
          <w:rFonts w:hint="default"/>
          <w:vertAlign w:val="superscript"/>
        </w:rPr>
        <w:fldChar w:fldCharType="end"/>
      </w:r>
      <w:r>
        <w:rPr>
          <w:rFonts w:hint="default"/>
        </w:rPr>
        <w:t>；这么说吧，MARK在神经退行性疾病相关信号通路里就像一个动态调节节点。</w:t>
      </w:r>
    </w:p>
    <w:p w14:paraId="76665DEB">
      <w:pPr>
        <w:bidi w:val="0"/>
        <w:rPr>
          <w:rFonts w:hint="default"/>
        </w:rPr>
      </w:pPr>
      <w:r>
        <w:rPr>
          <w:rFonts w:hint="default"/>
        </w:rPr>
        <w:t>说到疾病相关性，MARK4表达异常或者活性失衡，一面跟阿尔茨海默症这类神经系统疾病挂钩，另一面也牵涉到肿瘤等异常细胞增殖过程；这种跨疾病的特征说明，MARK4在细胞骨架调控和信号转导网络中发挥着基础且关键的作用</w:t>
      </w:r>
      <w:r>
        <w:rPr>
          <w:rFonts w:hint="default"/>
          <w:vertAlign w:val="superscript"/>
        </w:rPr>
        <w:fldChar w:fldCharType="begin"/>
      </w:r>
      <w:r>
        <w:rPr>
          <w:rFonts w:hint="default"/>
          <w:vertAlign w:val="superscript"/>
        </w:rPr>
        <w:instrText xml:space="preserve"> REF _Ref3859 \r \h </w:instrText>
      </w:r>
      <w:r>
        <w:rPr>
          <w:rFonts w:hint="default"/>
          <w:vertAlign w:val="superscript"/>
        </w:rPr>
        <w:fldChar w:fldCharType="separate"/>
      </w:r>
      <w:r>
        <w:rPr>
          <w:rFonts w:hint="default"/>
          <w:vertAlign w:val="superscript"/>
        </w:rPr>
        <w:t>[10]</w:t>
      </w:r>
      <w:r>
        <w:rPr>
          <w:rFonts w:hint="default"/>
          <w:vertAlign w:val="superscript"/>
        </w:rPr>
        <w:fldChar w:fldCharType="end"/>
      </w:r>
      <w:r>
        <w:rPr>
          <w:rFonts w:hint="default"/>
        </w:rPr>
        <w:t>。</w:t>
      </w:r>
    </w:p>
    <w:p w14:paraId="42392D6C">
      <w:pPr>
        <w:pStyle w:val="2"/>
        <w:numPr>
          <w:ilvl w:val="0"/>
          <w:numId w:val="1"/>
        </w:numPr>
        <w:ind w:firstLineChars="0"/>
      </w:pPr>
      <w:bookmarkStart w:id="14" w:name="_Toc21569"/>
      <w:r>
        <w:t>Tau蛋白与微管稳态失衡的病理基础</w:t>
      </w:r>
      <w:bookmarkEnd w:id="14"/>
    </w:p>
    <w:p w14:paraId="626F995B">
      <w:pPr>
        <w:bidi w:val="0"/>
      </w:pPr>
      <w:r>
        <w:rPr>
          <w:rFonts w:hint="default"/>
        </w:rPr>
        <w:t>Tau蛋白（microtubule-associated protein tau）算是神经元里一类重要的微管相关蛋白，主要靠其微管结合重复序列去接触微管——这样一来既能维持轴突内微管结构稳定，也能保障轴突运输正常工作；生理状态下Tau蛋白保持低磷酸化水平，以此稳住微管，一旦发生异常修饰，微管稳定性就遭破坏，神经元结构与功能也跟着受影响</w:t>
      </w:r>
      <w:r>
        <w:rPr>
          <w:rFonts w:hint="default"/>
          <w:vertAlign w:val="superscript"/>
        </w:rPr>
        <w:fldChar w:fldCharType="begin"/>
      </w:r>
      <w:r>
        <w:rPr>
          <w:rFonts w:hint="default"/>
          <w:vertAlign w:val="superscript"/>
        </w:rPr>
        <w:instrText xml:space="preserve"> REF _Ref3974 \r \h </w:instrText>
      </w:r>
      <w:r>
        <w:rPr>
          <w:rFonts w:hint="default"/>
          <w:vertAlign w:val="superscript"/>
        </w:rPr>
        <w:fldChar w:fldCharType="separate"/>
      </w:r>
      <w:r>
        <w:rPr>
          <w:rFonts w:hint="default"/>
          <w:vertAlign w:val="superscript"/>
        </w:rPr>
        <w:t>[11]</w:t>
      </w:r>
      <w:r>
        <w:rPr>
          <w:rFonts w:hint="default"/>
          <w:vertAlign w:val="superscript"/>
        </w:rPr>
        <w:fldChar w:fldCharType="end"/>
      </w:r>
      <w:r>
        <w:rPr>
          <w:rFonts w:hint="default"/>
        </w:rPr>
        <w:t>。</w:t>
      </w:r>
    </w:p>
    <w:p w14:paraId="52BABB7F">
      <w:pPr>
        <w:bidi w:val="0"/>
        <w:rPr>
          <w:rFonts w:hint="default"/>
        </w:rPr>
      </w:pPr>
      <w:r>
        <w:rPr>
          <w:rFonts w:hint="default"/>
        </w:rPr>
        <w:t>再看分子结构，Tau蛋白由MAPT基因编码，通过可变剪接产生多种异构体，不同异构体在微管结合能力及空间分布上差异明显；马云峰（2015）系统分析Tau六种主要剪接异构体及其在不同Tau病中的分布，指出异构体比例失衡跟神经退行性疾病类型之间关联密切</w:t>
      </w:r>
      <w:r>
        <w:rPr>
          <w:rFonts w:hint="default"/>
          <w:vertAlign w:val="superscript"/>
        </w:rPr>
        <w:fldChar w:fldCharType="begin"/>
      </w:r>
      <w:r>
        <w:rPr>
          <w:rFonts w:hint="default"/>
          <w:vertAlign w:val="superscript"/>
        </w:rPr>
        <w:instrText xml:space="preserve"> REF _Ref4068 \r \h </w:instrText>
      </w:r>
      <w:r>
        <w:rPr>
          <w:rFonts w:hint="default"/>
          <w:vertAlign w:val="superscript"/>
        </w:rPr>
        <w:fldChar w:fldCharType="separate"/>
      </w:r>
      <w:r>
        <w:rPr>
          <w:rFonts w:hint="default"/>
          <w:vertAlign w:val="superscript"/>
        </w:rPr>
        <w:t>[12]</w:t>
      </w:r>
      <w:r>
        <w:rPr>
          <w:rFonts w:hint="default"/>
          <w:vertAlign w:val="superscript"/>
        </w:rPr>
        <w:fldChar w:fldCharType="end"/>
      </w:r>
      <w:r>
        <w:rPr>
          <w:rFonts w:hint="default"/>
        </w:rPr>
        <w:t>——可以说，这种结构差异为Tau在不同疾病中功能失调提供分子基础。</w:t>
      </w:r>
    </w:p>
    <w:p w14:paraId="42200AB7">
      <w:pPr>
        <w:bidi w:val="0"/>
        <w:rPr>
          <w:rFonts w:hint="default"/>
        </w:rPr>
      </w:pPr>
      <w:r>
        <w:rPr>
          <w:rFonts w:hint="default"/>
        </w:rPr>
        <w:t>说到翻译后修饰，磷酸化算是调控Tau功能的核心方式；Tau蛋白含多个丝氨酸和苏氨酸位点，磷酸化程度好比一个调节旋钮，直接决定它与微管结合能力——一旦磷酸化水平升高，Tau与微管亲和力就下降，微管结构逐渐不稳。周付涛（2012）系统整理Tau磷酸化调控机制后指出，这个过程由激酶与磷酸酶共同调节，两者失衡正是Tau异常磷酸化的重要原因</w:t>
      </w:r>
      <w:r>
        <w:rPr>
          <w:rFonts w:hint="default"/>
          <w:vertAlign w:val="superscript"/>
        </w:rPr>
        <w:fldChar w:fldCharType="begin"/>
      </w:r>
      <w:r>
        <w:rPr>
          <w:rFonts w:hint="default"/>
          <w:vertAlign w:val="superscript"/>
        </w:rPr>
        <w:instrText xml:space="preserve"> REF _Ref4124 \r \h </w:instrText>
      </w:r>
      <w:r>
        <w:rPr>
          <w:rFonts w:hint="default"/>
          <w:vertAlign w:val="superscript"/>
        </w:rPr>
        <w:fldChar w:fldCharType="separate"/>
      </w:r>
      <w:r>
        <w:rPr>
          <w:rFonts w:hint="default"/>
          <w:vertAlign w:val="superscript"/>
        </w:rPr>
        <w:t>[13]</w:t>
      </w:r>
      <w:r>
        <w:rPr>
          <w:rFonts w:hint="default"/>
          <w:vertAlign w:val="superscript"/>
        </w:rPr>
        <w:fldChar w:fldCharType="end"/>
      </w:r>
      <w:r>
        <w:rPr>
          <w:rFonts w:hint="default"/>
        </w:rPr>
        <w:t>。</w:t>
      </w:r>
    </w:p>
    <w:p w14:paraId="50B020D0">
      <w:pPr>
        <w:bidi w:val="0"/>
        <w:rPr>
          <w:rFonts w:hint="default"/>
        </w:rPr>
      </w:pPr>
      <w:r>
        <w:rPr>
          <w:rFonts w:hint="default"/>
        </w:rPr>
        <w:t>阿尔茨海默症这类神经退行性疾病里，Tau过度磷酸化通常伴随神经原纤维缠结（neurofibrillary tangles，NFTs）形成；燕飞（2020）从磷酸酶调控角度切入，发现蛋白磷酸酶2A（PP2A）活性下降削弱Tau去磷酸化能力，进而加剧Tau异常积累</w:t>
      </w:r>
      <w:r>
        <w:rPr>
          <w:rFonts w:hint="default"/>
          <w:vertAlign w:val="superscript"/>
        </w:rPr>
        <w:fldChar w:fldCharType="begin"/>
      </w:r>
      <w:r>
        <w:rPr>
          <w:rFonts w:hint="default"/>
          <w:vertAlign w:val="superscript"/>
        </w:rPr>
        <w:instrText xml:space="preserve"> REF _Ref4189 \r \h </w:instrText>
      </w:r>
      <w:r>
        <w:rPr>
          <w:rFonts w:hint="default"/>
          <w:vertAlign w:val="superscript"/>
        </w:rPr>
        <w:fldChar w:fldCharType="separate"/>
      </w:r>
      <w:r>
        <w:rPr>
          <w:rFonts w:hint="default"/>
          <w:vertAlign w:val="superscript"/>
        </w:rPr>
        <w:t>[14]</w:t>
      </w:r>
      <w:r>
        <w:rPr>
          <w:rFonts w:hint="default"/>
          <w:vertAlign w:val="superscript"/>
        </w:rPr>
        <w:fldChar w:fldCharType="end"/>
      </w:r>
      <w:r>
        <w:rPr>
          <w:rFonts w:hint="default"/>
        </w:rPr>
        <w:t>。这一机制说明，Tau病理并非单一激酶异常导致，是磷酸化与去磷酸化调控体系整体失衡的结果。</w:t>
      </w:r>
    </w:p>
    <w:p w14:paraId="2942E972">
      <w:pPr>
        <w:widowControl/>
        <w:ind w:firstLine="480"/>
        <w:jc w:val="center"/>
        <w:rPr>
          <w:rFonts w:cs="Times New Roman"/>
        </w:rPr>
      </w:pPr>
      <w:r>
        <w:rPr>
          <w:rFonts w:cs="Times New Roman"/>
        </w:rPr>
        <w:drawing>
          <wp:inline distT="0" distB="0" distL="0" distR="0">
            <wp:extent cx="5422900" cy="3568700"/>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22900" cy="3568700"/>
                    </a:xfrm>
                    <a:prstGeom prst="rect">
                      <a:avLst/>
                    </a:prstGeom>
                    <a:noFill/>
                    <a:ln>
                      <a:noFill/>
                    </a:ln>
                  </pic:spPr>
                </pic:pic>
              </a:graphicData>
            </a:graphic>
          </wp:inline>
        </w:drawing>
      </w:r>
    </w:p>
    <w:p w14:paraId="4CA54712">
      <w:pPr>
        <w:pStyle w:val="7"/>
        <w:bidi w:val="0"/>
      </w:pPr>
      <w:r>
        <w:t xml:space="preserve">图1. </w:t>
      </w:r>
      <w:r>
        <w:fldChar w:fldCharType="begin"/>
      </w:r>
      <w:r>
        <w:instrText xml:space="preserve"> SEQ 图1. \* ARABIC </w:instrText>
      </w:r>
      <w:r>
        <w:fldChar w:fldCharType="separate"/>
      </w:r>
      <w:r>
        <w:t>2</w:t>
      </w:r>
      <w:r>
        <w:fldChar w:fldCharType="end"/>
      </w:r>
      <w:r>
        <w:t>Tau蛋白异常磷酸化与神经原纤维缠结形成机制示意图</w:t>
      </w:r>
    </w:p>
    <w:p w14:paraId="561F1B9B">
      <w:pPr>
        <w:bidi w:val="0"/>
      </w:pPr>
      <w:r>
        <w:rPr>
          <w:rFonts w:hint="default"/>
        </w:rPr>
        <w:t>在蛋白稳态调控这一块，Tau异常积累跟自噬-溶酶体系统功能障碍关系很近；自噬过程本该清除异常蛋白，可一旦自噬功能受损，异常磷酸化的Tau就难以及时降解，反倒促进其聚集、增强细胞毒性</w:t>
      </w:r>
      <w:r>
        <w:rPr>
          <w:rFonts w:hint="default"/>
          <w:vertAlign w:val="superscript"/>
        </w:rPr>
        <w:fldChar w:fldCharType="begin"/>
      </w:r>
      <w:r>
        <w:rPr>
          <w:rFonts w:hint="default"/>
          <w:vertAlign w:val="superscript"/>
        </w:rPr>
        <w:instrText xml:space="preserve"> REF _Ref4258 \r \h </w:instrText>
      </w:r>
      <w:r>
        <w:rPr>
          <w:rFonts w:hint="default"/>
          <w:vertAlign w:val="superscript"/>
        </w:rPr>
        <w:fldChar w:fldCharType="separate"/>
      </w:r>
      <w:r>
        <w:rPr>
          <w:rFonts w:hint="default"/>
          <w:vertAlign w:val="superscript"/>
        </w:rPr>
        <w:t>[15]</w:t>
      </w:r>
      <w:r>
        <w:rPr>
          <w:rFonts w:hint="default"/>
          <w:vertAlign w:val="superscript"/>
        </w:rPr>
        <w:fldChar w:fldCharType="end"/>
      </w:r>
      <w:r>
        <w:rPr>
          <w:rFonts w:hint="default"/>
        </w:rPr>
        <w:t>——从蛋白质降解角度出发，这正好解释了Tau异常积累的分子机制。</w:t>
      </w:r>
    </w:p>
    <w:p w14:paraId="15F81BDD">
      <w:pPr>
        <w:bidi w:val="0"/>
        <w:rPr>
          <w:rFonts w:hint="default"/>
        </w:rPr>
      </w:pPr>
      <w:r>
        <w:rPr>
          <w:rFonts w:hint="default"/>
        </w:rPr>
        <w:t>除了神经系统疾病，Tau蛋白异常聚集也掺和进肿瘤相关过程；刘学敏（2024）指出，Tau蛋白能干扰自噬体与溶酶体融合，进而影响肿瘤细胞生长及药物耐受性</w:t>
      </w:r>
      <w:r>
        <w:rPr>
          <w:rFonts w:hint="default"/>
          <w:vertAlign w:val="superscript"/>
        </w:rPr>
        <w:fldChar w:fldCharType="begin"/>
      </w:r>
      <w:r>
        <w:rPr>
          <w:rFonts w:hint="default"/>
          <w:vertAlign w:val="superscript"/>
        </w:rPr>
        <w:instrText xml:space="preserve"> REF _Ref4290 \r \h </w:instrText>
      </w:r>
      <w:r>
        <w:rPr>
          <w:rFonts w:hint="default"/>
          <w:vertAlign w:val="superscript"/>
        </w:rPr>
        <w:fldChar w:fldCharType="separate"/>
      </w:r>
      <w:r>
        <w:rPr>
          <w:rFonts w:hint="default"/>
          <w:vertAlign w:val="superscript"/>
        </w:rPr>
        <w:t>[16]</w:t>
      </w:r>
      <w:r>
        <w:rPr>
          <w:rFonts w:hint="default"/>
          <w:vertAlign w:val="superscript"/>
        </w:rPr>
        <w:fldChar w:fldCharType="end"/>
      </w:r>
      <w:r>
        <w:rPr>
          <w:rFonts w:hint="default"/>
        </w:rPr>
        <w:t>。这个现象说明，Tau功能失调在不同疾病背后存在共通的分子基础。</w:t>
      </w:r>
    </w:p>
    <w:p w14:paraId="6B2C511C">
      <w:pPr>
        <w:bidi w:val="0"/>
        <w:rPr>
          <w:rFonts w:hint="default"/>
        </w:rPr>
      </w:pPr>
      <w:r>
        <w:rPr>
          <w:rFonts w:hint="default"/>
        </w:rPr>
        <w:t>从系统层面看，微管稳态破坏算是Tau异常引起神经元功能障碍的核心结果；刘荣宏（2025）借助生物信息学分析发现，阿尔茨海默症里微管结构蛋白与Tau异常之间存在明显协同变化关系</w:t>
      </w:r>
      <w:r>
        <w:rPr>
          <w:rFonts w:hint="default"/>
          <w:vertAlign w:val="superscript"/>
        </w:rPr>
        <w:fldChar w:fldCharType="begin"/>
      </w:r>
      <w:r>
        <w:rPr>
          <w:rFonts w:hint="default"/>
          <w:vertAlign w:val="superscript"/>
        </w:rPr>
        <w:instrText xml:space="preserve"> REF _Ref4346 \r \h </w:instrText>
      </w:r>
      <w:r>
        <w:rPr>
          <w:rFonts w:hint="default"/>
          <w:vertAlign w:val="superscript"/>
        </w:rPr>
        <w:fldChar w:fldCharType="separate"/>
      </w:r>
      <w:r>
        <w:rPr>
          <w:rFonts w:hint="default"/>
          <w:vertAlign w:val="superscript"/>
        </w:rPr>
        <w:t>[17]</w:t>
      </w:r>
      <w:r>
        <w:rPr>
          <w:rFonts w:hint="default"/>
          <w:vertAlign w:val="superscript"/>
        </w:rPr>
        <w:fldChar w:fldCharType="end"/>
      </w:r>
      <w:r>
        <w:rPr>
          <w:rFonts w:hint="default"/>
        </w:rPr>
        <w:t>。这一结果从整体网络层面进一步强化那条病理逻辑——“Tau异常→微管失稳→神经功能损伤”。</w:t>
      </w:r>
    </w:p>
    <w:p w14:paraId="64F32A64">
      <w:pPr>
        <w:ind w:firstLine="480"/>
      </w:pPr>
    </w:p>
    <w:p w14:paraId="26F43857">
      <w:pPr>
        <w:pStyle w:val="2"/>
        <w:keepNext w:val="0"/>
        <w:numPr>
          <w:ilvl w:val="0"/>
          <w:numId w:val="1"/>
        </w:numPr>
        <w:ind w:left="431" w:hanging="431" w:firstLineChars="0"/>
      </w:pPr>
      <w:bookmarkStart w:id="15" w:name="_Toc23648"/>
      <w:r>
        <w:t>MARK–Tau轴在阿尔茨海默症中的作用机制</w:t>
      </w:r>
      <w:bookmarkEnd w:id="15"/>
    </w:p>
    <w:p w14:paraId="1B04FCBB">
      <w:pPr>
        <w:bidi w:val="0"/>
      </w:pPr>
      <w:r>
        <w:rPr>
          <w:rFonts w:hint="default"/>
        </w:rPr>
        <w:t>在阿尔茨海默症（Alzheimer’s disease，AD）的分子病理网络里，Tau蛋白异常磷酸化跟认知功能衰退之间关系</w:t>
      </w:r>
      <w:r>
        <w:rPr>
          <w:rFonts w:hint="eastAsia"/>
          <w:lang w:val="en-US" w:eastAsia="zh-CN"/>
        </w:rPr>
        <w:t>密切</w:t>
      </w:r>
      <w:r>
        <w:rPr>
          <w:rFonts w:hint="default"/>
          <w:vertAlign w:val="superscript"/>
        </w:rPr>
        <w:fldChar w:fldCharType="begin"/>
      </w:r>
      <w:r>
        <w:rPr>
          <w:rFonts w:hint="default"/>
          <w:vertAlign w:val="superscript"/>
        </w:rPr>
        <w:instrText xml:space="preserve"> REF _Ref4516 \r \h </w:instrText>
      </w:r>
      <w:r>
        <w:rPr>
          <w:rFonts w:hint="default"/>
          <w:vertAlign w:val="superscript"/>
        </w:rPr>
        <w:fldChar w:fldCharType="separate"/>
      </w:r>
      <w:r>
        <w:rPr>
          <w:rFonts w:hint="default"/>
          <w:vertAlign w:val="superscript"/>
        </w:rPr>
        <w:t>[18]</w:t>
      </w:r>
      <w:r>
        <w:rPr>
          <w:rFonts w:hint="default"/>
          <w:vertAlign w:val="superscript"/>
        </w:rPr>
        <w:fldChar w:fldCharType="end"/>
      </w:r>
      <w:r>
        <w:rPr>
          <w:rFonts w:hint="default"/>
        </w:rPr>
        <w:t>；MARK（也叫PAR-1）激酶家族正好卡在这一过程的关键调控节点上——一方面介导Tau磷酸化，另一方面影响微管稳定性，把Aβ毒性信号与突触结构损伤串起来，由此形成一条以MARK–Tau为核心的致病机制通路。</w:t>
      </w:r>
    </w:p>
    <w:p w14:paraId="6FD9E608">
      <w:pPr>
        <w:bidi w:val="0"/>
        <w:rPr>
          <w:rFonts w:hint="default"/>
        </w:rPr>
      </w:pPr>
      <w:r>
        <w:rPr>
          <w:rFonts w:hint="default"/>
        </w:rPr>
        <w:t>Aβ寡聚体可以直接激活MARK激酶家族，进而诱导Tau在某些关键位点发生异常磷酸化；这么一来，Tau与微管的结合能力下降，微管结构逐渐解聚，同时树突棘密度降低、突触相关蛋白表达减少，最终突触功能受损。可以说，这个过程构成了Aβ介导神经毒性的关键分子路径之一。</w:t>
      </w:r>
    </w:p>
    <w:p w14:paraId="478F223D">
      <w:pPr>
        <w:bidi w:val="0"/>
        <w:rPr>
          <w:rFonts w:hint="default"/>
        </w:rPr>
      </w:pPr>
      <w:r>
        <w:rPr>
          <w:rFonts w:hint="default"/>
        </w:rPr>
        <w:t>再看具体分子机制，Tau蛋白的Ser262和Ser356位点算是调控其与微管结合能力的关键位点</w:t>
      </w:r>
      <w:r>
        <w:rPr>
          <w:rFonts w:hint="default"/>
          <w:vertAlign w:val="superscript"/>
        </w:rPr>
        <w:fldChar w:fldCharType="begin"/>
      </w:r>
      <w:r>
        <w:rPr>
          <w:rFonts w:hint="default"/>
          <w:vertAlign w:val="superscript"/>
        </w:rPr>
        <w:instrText xml:space="preserve"> REF _Ref4597 \r \h </w:instrText>
      </w:r>
      <w:r>
        <w:rPr>
          <w:rFonts w:hint="default"/>
          <w:vertAlign w:val="superscript"/>
        </w:rPr>
        <w:fldChar w:fldCharType="separate"/>
      </w:r>
      <w:r>
        <w:rPr>
          <w:rFonts w:hint="default"/>
          <w:vertAlign w:val="superscript"/>
        </w:rPr>
        <w:t>[19]</w:t>
      </w:r>
      <w:r>
        <w:rPr>
          <w:rFonts w:hint="default"/>
          <w:vertAlign w:val="superscript"/>
        </w:rPr>
        <w:fldChar w:fldCharType="end"/>
      </w:r>
      <w:r>
        <w:rPr>
          <w:rFonts w:hint="default"/>
        </w:rPr>
        <w:t>；MARK4对这两个位点施加磷酸化作用后，会明显削弱Tau对微管的稳定作用，还促使Tau从轴突区域错位跑到胞体和树突区域。随着疾病往前走，异常磷酸化Tau慢慢聚集、形成不溶性结构，神经元结构损伤也就</w:t>
      </w:r>
      <w:r>
        <w:rPr>
          <w:rFonts w:hint="eastAsia"/>
          <w:lang w:val="en-US" w:eastAsia="zh-CN"/>
        </w:rPr>
        <w:t>会</w:t>
      </w:r>
      <w:r>
        <w:rPr>
          <w:rFonts w:hint="default"/>
        </w:rPr>
        <w:t>进一步加剧</w:t>
      </w:r>
      <w:r>
        <w:rPr>
          <w:rFonts w:hint="default"/>
          <w:vertAlign w:val="superscript"/>
        </w:rPr>
        <w:fldChar w:fldCharType="begin"/>
      </w:r>
      <w:r>
        <w:rPr>
          <w:rFonts w:hint="default"/>
          <w:vertAlign w:val="superscript"/>
        </w:rPr>
        <w:instrText xml:space="preserve"> REF _Ref4695 \r \h </w:instrText>
      </w:r>
      <w:r>
        <w:rPr>
          <w:rFonts w:hint="default"/>
          <w:vertAlign w:val="superscript"/>
        </w:rPr>
        <w:fldChar w:fldCharType="separate"/>
      </w:r>
      <w:r>
        <w:rPr>
          <w:rFonts w:hint="default"/>
          <w:vertAlign w:val="superscript"/>
        </w:rPr>
        <w:t>[20]</w:t>
      </w:r>
      <w:r>
        <w:rPr>
          <w:rFonts w:hint="default"/>
          <w:vertAlign w:val="superscript"/>
        </w:rPr>
        <w:fldChar w:fldCharType="end"/>
      </w:r>
      <w:r>
        <w:rPr>
          <w:rFonts w:hint="default"/>
        </w:rPr>
        <w:t>。</w:t>
      </w:r>
    </w:p>
    <w:p w14:paraId="0B991EAB">
      <w:pPr>
        <w:widowControl/>
        <w:ind w:firstLine="480"/>
        <w:jc w:val="center"/>
        <w:rPr>
          <w:rFonts w:cs="Times New Roman"/>
        </w:rPr>
      </w:pPr>
      <w:r>
        <w:rPr>
          <w:rFonts w:cs="Times New Roman"/>
        </w:rPr>
        <w:drawing>
          <wp:inline distT="0" distB="0" distL="0" distR="0">
            <wp:extent cx="5187950" cy="356870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187950" cy="3568700"/>
                    </a:xfrm>
                    <a:prstGeom prst="rect">
                      <a:avLst/>
                    </a:prstGeom>
                    <a:noFill/>
                    <a:ln>
                      <a:noFill/>
                    </a:ln>
                  </pic:spPr>
                </pic:pic>
              </a:graphicData>
            </a:graphic>
          </wp:inline>
        </w:drawing>
      </w:r>
    </w:p>
    <w:p w14:paraId="6BA2C527">
      <w:pPr>
        <w:pStyle w:val="7"/>
        <w:bidi w:val="0"/>
      </w:pPr>
      <w:r>
        <w:t xml:space="preserve">图1. </w:t>
      </w:r>
      <w:r>
        <w:fldChar w:fldCharType="begin"/>
      </w:r>
      <w:r>
        <w:instrText xml:space="preserve"> SEQ 图1. \* ARABIC </w:instrText>
      </w:r>
      <w:r>
        <w:fldChar w:fldCharType="separate"/>
      </w:r>
      <w:r>
        <w:t>3</w:t>
      </w:r>
      <w:r>
        <w:fldChar w:fldCharType="end"/>
      </w:r>
      <w:r>
        <w:t>MARK–Tau轴在阿尔茨海默症中的致病机制示意图</w:t>
      </w:r>
    </w:p>
    <w:p w14:paraId="0D8029F9">
      <w:pPr>
        <w:adjustRightInd w:val="0"/>
        <w:snapToGrid w:val="0"/>
      </w:pPr>
      <w:r>
        <w:t>在遗传及模型研究中，MARK4功能异常可直接导致Tau异常磷酸化水平升高，并促进不溶性Tau聚集，从而加重神经元结构损伤和功能退化。这一结果表明，MARK4活性失衡能够直接驱动Tau病理进程。</w:t>
      </w:r>
    </w:p>
    <w:p w14:paraId="03B09C9F">
      <w:pPr>
        <w:adjustRightInd w:val="0"/>
        <w:snapToGrid w:val="0"/>
        <w:ind w:firstLine="480"/>
      </w:pPr>
      <w:r>
        <w:t>不同MARK家族成员在Tau调控过程中存在功能差异，其中MARK4在Tau错位分布、突触损伤及神经退行性改变中表现出更为突出的作用</w:t>
      </w:r>
      <w:r>
        <w:rPr>
          <w:vertAlign w:val="superscript"/>
        </w:rPr>
        <w:t>[21]</w:t>
      </w:r>
      <w:r>
        <w:t>。其在神经元中的表达特征及底物特异性，使其成为该通路中的关键调控亚型，从靶点选择角度看，针对MARK4的选择性干预具有更高潜在价值</w:t>
      </w:r>
      <w:r>
        <w:rPr>
          <w:vertAlign w:val="superscript"/>
        </w:rPr>
        <w:t>[22]</w:t>
      </w:r>
      <w:r>
        <w:t>。</w:t>
      </w:r>
    </w:p>
    <w:p w14:paraId="06E98816">
      <w:pPr>
        <w:adjustRightInd w:val="0"/>
        <w:snapToGrid w:val="0"/>
        <w:ind w:firstLine="480"/>
      </w:pPr>
      <w:r>
        <w:t>从整体机制来看，Tau病理是阿尔茨海默症中最具干预潜力的核心环节之一。MARK4通过破坏微管稳定性、干扰轴突运输并诱导神经元结构异常，在Tau病理形成和发展过程中处于上游调控位置。这一上游调控特征使其在疾病进展中具有放大效应。</w:t>
      </w:r>
    </w:p>
    <w:p w14:paraId="588494BC">
      <w:pPr>
        <w:adjustRightInd w:val="0"/>
        <w:snapToGrid w:val="0"/>
        <w:ind w:firstLine="480"/>
      </w:pPr>
      <w:r>
        <w:t>从药物开发角度分析，MARK激酶具有典型激酶结构特征，其ATP结合口袋清晰且具有良好的结构可解析性，为小分子抑制剂设计提供了明确靶点基础</w:t>
      </w:r>
      <w:r>
        <w:rPr>
          <w:vertAlign w:val="superscript"/>
        </w:rPr>
        <w:t>[23]</w:t>
      </w:r>
      <w:r>
        <w:t>。因此，MARK–Tau轴不仅在疾病机制中具有关键作用，同时也在基础研究与药物开发之间发挥桥梁作用。</w:t>
      </w:r>
    </w:p>
    <w:p w14:paraId="0821D214">
      <w:pPr>
        <w:adjustRightInd w:val="0"/>
        <w:snapToGrid w:val="0"/>
        <w:ind w:firstLine="480"/>
      </w:pPr>
      <w:r>
        <w:t>需要指出的是，MARK–Tau轴并非孤立存在，而是嵌入于复杂的激酶调控网络之中。MARK与GSK-3β、p38 MAPK及CDKs等多种激酶共同参与Tau磷酸化调控，不同激酶之间的协同与拮抗作用决定了Tau异常磷酸化的空间分布与时间动态</w:t>
      </w:r>
      <w:r>
        <w:rPr>
          <w:vertAlign w:val="superscript"/>
        </w:rPr>
        <w:t>[24]</w:t>
      </w:r>
      <w:r>
        <w:t>。因此，对MARK–Tau轴的研究需要结合整体信号网络进行系统分析，以更准确地理解其在阿尔茨海默症中的作用机制。</w:t>
      </w:r>
    </w:p>
    <w:p w14:paraId="05998F48">
      <w:pPr>
        <w:pStyle w:val="2"/>
        <w:numPr>
          <w:ilvl w:val="0"/>
          <w:numId w:val="1"/>
        </w:numPr>
        <w:ind w:firstLineChars="0"/>
      </w:pPr>
      <w:bookmarkStart w:id="16" w:name="_Toc24334"/>
      <w:r>
        <w:t>MARK4作为治疗靶点的研究依据</w:t>
      </w:r>
      <w:bookmarkEnd w:id="16"/>
    </w:p>
    <w:p w14:paraId="29C3C34E">
      <w:pPr>
        <w:bidi w:val="0"/>
      </w:pPr>
      <w:r>
        <w:rPr>
          <w:rFonts w:hint="default"/>
        </w:rPr>
        <w:t>在明确MARK–Tau轴参与阿尔茨海默症核心病理机制基础上，MARK4作为潜在治疗靶点的合理性逐渐从多层面得到系统性证据支持；这些证据覆盖分子机制、细胞功能、多组学分析、影像学特征以及生物标志物变化等多个层面，共同搭建出MARK4在疾病网络中的关键位置。</w:t>
      </w:r>
    </w:p>
    <w:p w14:paraId="6623A529">
      <w:pPr>
        <w:bidi w:val="0"/>
        <w:rPr>
          <w:rFonts w:hint="default"/>
        </w:rPr>
      </w:pPr>
      <w:r>
        <w:rPr>
          <w:rFonts w:hint="default"/>
        </w:rPr>
        <w:t>从系统生物学角度看，MARK4所参与的微管及细胞骨架调控通路在阿尔茨海默症里出现明显异常；多组学整合分析显示，跟微管稳态、轴突运输及细胞极性相关的功能模块在患者脑组织中发生系统性重构，而MARK4正好位于多个关键调控模块的交汇节点</w:t>
      </w:r>
      <w:r>
        <w:rPr>
          <w:rFonts w:hint="default"/>
          <w:vertAlign w:val="superscript"/>
        </w:rPr>
        <w:fldChar w:fldCharType="begin"/>
      </w:r>
      <w:r>
        <w:rPr>
          <w:rFonts w:hint="default"/>
          <w:vertAlign w:val="superscript"/>
        </w:rPr>
        <w:instrText xml:space="preserve"> REF _Ref5120 \r \h </w:instrText>
      </w:r>
      <w:r>
        <w:rPr>
          <w:rFonts w:hint="default"/>
          <w:vertAlign w:val="superscript"/>
        </w:rPr>
        <w:fldChar w:fldCharType="separate"/>
      </w:r>
      <w:r>
        <w:rPr>
          <w:rFonts w:hint="default"/>
          <w:vertAlign w:val="superscript"/>
        </w:rPr>
        <w:t>[25]</w:t>
      </w:r>
      <w:r>
        <w:rPr>
          <w:rFonts w:hint="default"/>
          <w:vertAlign w:val="superscript"/>
        </w:rPr>
        <w:fldChar w:fldCharType="end"/>
      </w:r>
      <w:r>
        <w:rPr>
          <w:rFonts w:hint="default"/>
        </w:rPr>
        <w:t>。这一特征说明，MARK4不光参与Tau调控，还在更广泛的神经元结构与功能网络中扮演核心角色。</w:t>
      </w:r>
    </w:p>
    <w:p w14:paraId="3A01DE7F">
      <w:pPr>
        <w:bidi w:val="0"/>
        <w:rPr>
          <w:rFonts w:hint="default"/>
        </w:rPr>
      </w:pPr>
      <w:r>
        <w:rPr>
          <w:rFonts w:hint="default"/>
        </w:rPr>
        <w:t>再说影像学层面，脑血流改变及白质结构损伤算是阿尔茨海默症的重要特征</w:t>
      </w:r>
      <w:r>
        <w:rPr>
          <w:rFonts w:hint="default"/>
          <w:vertAlign w:val="superscript"/>
        </w:rPr>
        <w:fldChar w:fldCharType="begin"/>
      </w:r>
      <w:r>
        <w:rPr>
          <w:rFonts w:hint="default"/>
          <w:vertAlign w:val="superscript"/>
        </w:rPr>
        <w:instrText xml:space="preserve"> REF _Ref6815 \r \h </w:instrText>
      </w:r>
      <w:r>
        <w:rPr>
          <w:rFonts w:hint="default"/>
          <w:vertAlign w:val="superscript"/>
        </w:rPr>
        <w:fldChar w:fldCharType="separate"/>
      </w:r>
      <w:r>
        <w:rPr>
          <w:rFonts w:hint="default"/>
          <w:vertAlign w:val="superscript"/>
        </w:rPr>
        <w:t>[26]</w:t>
      </w:r>
      <w:r>
        <w:rPr>
          <w:rFonts w:hint="default"/>
          <w:vertAlign w:val="superscript"/>
        </w:rPr>
        <w:fldChar w:fldCharType="end"/>
      </w:r>
      <w:r>
        <w:rPr>
          <w:rFonts w:hint="default"/>
        </w:rPr>
        <w:t>；神经元结构完整性受损与认知功能下降之间关联显著，而微管系统功能障碍正是导致轴突传导异常及白质病变的重要分子基础。这一结果从宏观角度间接支撑了以MARK4为代表的微管调控激酶在疾病进展中的作用。</w:t>
      </w:r>
    </w:p>
    <w:p w14:paraId="78840707">
      <w:pPr>
        <w:bidi w:val="0"/>
        <w:rPr>
          <w:rFonts w:hint="default"/>
        </w:rPr>
      </w:pPr>
      <w:r>
        <w:rPr>
          <w:rFonts w:hint="default"/>
        </w:rPr>
        <w:t>随着生物标志物研究推进，Tau相关指标在阿尔茨海默症早期诊断及分期中的价值不断上升</w:t>
      </w:r>
      <w:r>
        <w:rPr>
          <w:rFonts w:hint="default"/>
          <w:vertAlign w:val="superscript"/>
        </w:rPr>
        <w:fldChar w:fldCharType="begin"/>
      </w:r>
      <w:r>
        <w:rPr>
          <w:rFonts w:hint="default"/>
          <w:vertAlign w:val="superscript"/>
        </w:rPr>
        <w:instrText xml:space="preserve"> REF _Ref6896 \r \h </w:instrText>
      </w:r>
      <w:r>
        <w:rPr>
          <w:rFonts w:hint="default"/>
          <w:vertAlign w:val="superscript"/>
        </w:rPr>
        <w:fldChar w:fldCharType="separate"/>
      </w:r>
      <w:r>
        <w:rPr>
          <w:rFonts w:hint="default"/>
          <w:vertAlign w:val="superscript"/>
        </w:rPr>
        <w:t>[27]</w:t>
      </w:r>
      <w:r>
        <w:rPr>
          <w:rFonts w:hint="default"/>
          <w:vertAlign w:val="superscript"/>
        </w:rPr>
        <w:fldChar w:fldCharType="end"/>
      </w:r>
      <w:r>
        <w:rPr>
          <w:rFonts w:hint="default"/>
        </w:rPr>
        <w:t>；异常磷酸化Tau水平与疾病严重程度呈正相关——作为调控Tau关键磷酸化位点的上游激酶，MARK4活性变化能直接影响Tau标志物的异常表现。这种联系进一步强化了MARK4在疾病发生发展过程中的调控作用。</w:t>
      </w:r>
    </w:p>
    <w:p w14:paraId="37556E23">
      <w:pPr>
        <w:widowControl/>
        <w:ind w:firstLine="480"/>
        <w:jc w:val="center"/>
        <w:rPr>
          <w:rFonts w:cs="Times New Roman"/>
        </w:rPr>
      </w:pPr>
      <w:r>
        <w:rPr>
          <w:rFonts w:cs="Times New Roman"/>
        </w:rPr>
        <w:drawing>
          <wp:inline distT="0" distB="0" distL="0" distR="0">
            <wp:extent cx="3581400" cy="405765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581400" cy="4057650"/>
                    </a:xfrm>
                    <a:prstGeom prst="rect">
                      <a:avLst/>
                    </a:prstGeom>
                    <a:noFill/>
                    <a:ln>
                      <a:noFill/>
                    </a:ln>
                  </pic:spPr>
                </pic:pic>
              </a:graphicData>
            </a:graphic>
          </wp:inline>
        </w:drawing>
      </w:r>
      <w:r>
        <w:rPr>
          <w:rFonts w:cs="Times New Roman"/>
        </w:rPr>
        <w:t xml:space="preserve"> </w:t>
      </w:r>
    </w:p>
    <w:p w14:paraId="7F8A21BA">
      <w:pPr>
        <w:widowControl/>
        <w:autoSpaceDE w:val="0"/>
        <w:spacing w:before="100" w:beforeAutospacing="1" w:after="100" w:afterAutospacing="1"/>
        <w:ind w:firstLine="0" w:firstLineChars="0"/>
        <w:jc w:val="center"/>
        <w:rPr>
          <w:rFonts w:eastAsia="黑体" w:cs="Times New Roman"/>
          <w:b/>
          <w:bCs/>
          <w:kern w:val="0"/>
          <w:sz w:val="21"/>
          <w:szCs w:val="21"/>
        </w:rPr>
      </w:pPr>
      <w:r>
        <w:rPr>
          <w:rFonts w:eastAsia="黑体" w:cs="Times New Roman"/>
          <w:b/>
          <w:bCs/>
          <w:kern w:val="0"/>
          <w:sz w:val="21"/>
          <w:szCs w:val="21"/>
        </w:rPr>
        <w:t>图4 MARK4作为阿尔茨海默症治疗靶点的多层级证据整合示意图</w:t>
      </w:r>
    </w:p>
    <w:p w14:paraId="511637E1">
      <w:pPr>
        <w:bidi w:val="0"/>
      </w:pPr>
      <w:r>
        <w:rPr>
          <w:rFonts w:hint="default"/>
        </w:rPr>
        <w:t>在细胞损伤机制方面，阿尔茨海默症伴随多种程序性细胞死亡过程被激活，比如凋亡、坏死性凋亡及程序性坏死；这些过程彼此交织，而细胞骨架稳定性破坏算是多种细胞损伤机制的共同前提条件</w:t>
      </w:r>
      <w:r>
        <w:rPr>
          <w:rFonts w:hint="default"/>
          <w:vertAlign w:val="superscript"/>
        </w:rPr>
        <w:fldChar w:fldCharType="begin"/>
      </w:r>
      <w:r>
        <w:rPr>
          <w:rFonts w:hint="default"/>
          <w:vertAlign w:val="superscript"/>
        </w:rPr>
        <w:instrText xml:space="preserve"> REF _Ref6939 \r \h </w:instrText>
      </w:r>
      <w:r>
        <w:rPr>
          <w:rFonts w:hint="default"/>
          <w:vertAlign w:val="superscript"/>
        </w:rPr>
        <w:fldChar w:fldCharType="separate"/>
      </w:r>
      <w:r>
        <w:rPr>
          <w:rFonts w:hint="default"/>
          <w:vertAlign w:val="superscript"/>
        </w:rPr>
        <w:t>[28]</w:t>
      </w:r>
      <w:r>
        <w:rPr>
          <w:rFonts w:hint="default"/>
          <w:vertAlign w:val="superscript"/>
        </w:rPr>
        <w:fldChar w:fldCharType="end"/>
      </w:r>
      <w:r>
        <w:rPr>
          <w:rFonts w:hint="default"/>
        </w:rPr>
        <w:t>。MARK4直接参与微管稳态调控，因此其功能异常可通过不同路径间接影响神经元存活状态。</w:t>
      </w:r>
    </w:p>
    <w:p w14:paraId="58874235">
      <w:pPr>
        <w:bidi w:val="0"/>
        <w:rPr>
          <w:rFonts w:hint="default"/>
        </w:rPr>
      </w:pPr>
      <w:r>
        <w:rPr>
          <w:rFonts w:hint="default"/>
        </w:rPr>
        <w:t>从整体病理框架看，Tau异常、微管结构破坏加上轴突运输障碍，共同构成连接分子病变与临床症状的关键链条</w:t>
      </w:r>
      <w:r>
        <w:rPr>
          <w:rFonts w:hint="default"/>
          <w:vertAlign w:val="superscript"/>
        </w:rPr>
        <w:fldChar w:fldCharType="begin"/>
      </w:r>
      <w:r>
        <w:rPr>
          <w:rFonts w:hint="default"/>
          <w:vertAlign w:val="superscript"/>
        </w:rPr>
        <w:instrText xml:space="preserve"> REF _Ref7011 \r \h </w:instrText>
      </w:r>
      <w:r>
        <w:rPr>
          <w:rFonts w:hint="default"/>
          <w:vertAlign w:val="superscript"/>
        </w:rPr>
        <w:fldChar w:fldCharType="separate"/>
      </w:r>
      <w:r>
        <w:rPr>
          <w:rFonts w:hint="default"/>
          <w:vertAlign w:val="superscript"/>
        </w:rPr>
        <w:t>[29]</w:t>
      </w:r>
      <w:r>
        <w:rPr>
          <w:rFonts w:hint="default"/>
          <w:vertAlign w:val="superscript"/>
        </w:rPr>
        <w:fldChar w:fldCharType="end"/>
      </w:r>
      <w:r>
        <w:rPr>
          <w:rFonts w:hint="default"/>
        </w:rPr>
        <w:t>；MARK4一方面处于Tau磷酸化调控的上游位置，另一方面又是微管稳态调节的核心节点——这种病理网络中的“双重关键性”进一步夯实了其作为潜在治疗靶点的理论基础。</w:t>
      </w:r>
    </w:p>
    <w:p w14:paraId="6CC21EB2">
      <w:pPr>
        <w:bidi w:val="0"/>
        <w:rPr>
          <w:rFonts w:hint="default"/>
        </w:rPr>
      </w:pPr>
      <w:r>
        <w:rPr>
          <w:rFonts w:hint="default"/>
        </w:rPr>
        <w:t>换到药物开发视角，MARK4具备典型激酶靶点特征：催化结构域明确，还带有ATP结合口袋，这为小分子抑制剂设计提供结构基础；另外它位于疾病信号通路上游，通过调控关键病理节点能产生放大效应，这一特性让它在靶点优先级评估中占明显优势。</w:t>
      </w:r>
    </w:p>
    <w:p w14:paraId="08A77F47">
      <w:pPr>
        <w:pStyle w:val="2"/>
        <w:numPr>
          <w:ilvl w:val="0"/>
          <w:numId w:val="1"/>
        </w:numPr>
        <w:ind w:firstLineChars="0"/>
      </w:pPr>
      <w:bookmarkStart w:id="17" w:name="_Toc11736"/>
      <w:r>
        <w:t>MARK抑制剂的发现与药物化学研究进展</w:t>
      </w:r>
      <w:bookmarkEnd w:id="17"/>
    </w:p>
    <w:p w14:paraId="543EC2DC">
      <w:pPr>
        <w:adjustRightInd w:val="0"/>
        <w:snapToGrid w:val="0"/>
        <w:ind w:firstLine="480"/>
      </w:pPr>
      <w:r>
        <w:t>随着 MARK4 在阿尔兹海默症和Tau病中的关键作用越来越清楚，小分子抑制剂的研究成为了该领域的重要研究方向。有关研究主要集中在抑制剂筛选策略、结构生物学基础、药物化学优化路径等方面，渐渐形成比较系统化的体系。</w:t>
      </w:r>
    </w:p>
    <w:p w14:paraId="5EB8D66F">
      <w:pPr>
        <w:adjustRightInd w:val="0"/>
        <w:snapToGrid w:val="0"/>
        <w:ind w:firstLine="480"/>
      </w:pPr>
      <w:r>
        <w:t>MARK抑制剂研究最早起步于基于功能读出的筛选体系构建。Timm等（2011）开发了基于荧光共振能量转移（FRET）的活细胞生物传感器，用于实时监测MARK激酶活性变化</w:t>
      </w:r>
      <w:r>
        <w:rPr>
          <w:vertAlign w:val="superscript"/>
        </w:rPr>
        <w:t>[30]</w:t>
      </w:r>
      <w:r>
        <w:t>。该方法能够在细胞内水平直接评估候选化合物对MARK活性的抑制效果，为早期先导化合物的发现提供了可靠工具。</w:t>
      </w:r>
    </w:p>
    <w:p w14:paraId="52F8F1DF">
      <w:pPr>
        <w:adjustRightInd w:val="0"/>
        <w:snapToGrid w:val="0"/>
        <w:ind w:firstLine="480"/>
      </w:pPr>
      <w:r>
        <w:t>在先导化合物发现之后，药物化学优化研究很快开展起来。Sloman（2012）报道了一类以吡唑并嘧啶为骨架的MARK抑制剂，在体外酶活性实验中对MARK有较好的抑制作用，在细胞模型中能显著降低Tau的异常磷酸化水平</w:t>
      </w:r>
      <w:r>
        <w:rPr>
          <w:vertAlign w:val="superscript"/>
        </w:rPr>
        <w:t>[31]</w:t>
      </w:r>
      <w:r>
        <w:t>。随后Sloman等（2016）进一步用系统构效关系分析对这些化合物取代基进行了精细化改造，在提高抑制活性的同时改善了分子溶解度及理化性质，为中枢神经系统的用药打下了基础</w:t>
      </w:r>
      <w:r>
        <w:rPr>
          <w:vertAlign w:val="superscript"/>
        </w:rPr>
        <w:t>[32]</w:t>
      </w:r>
      <w:r>
        <w:t>。</w:t>
      </w:r>
    </w:p>
    <w:p w14:paraId="5F1BC31A">
      <w:pPr>
        <w:adjustRightInd w:val="0"/>
        <w:snapToGrid w:val="0"/>
        <w:ind w:firstLine="480"/>
      </w:pPr>
      <w:r>
        <w:t>除吡唑并嘧啶骨架外，其他的结构类型MARK抑制剂也被报道。Sack等人（2016）根据MARK4催化结构域和小分子抑制剂的晶体结构，对抑制剂与激酶铰链区、ATP结合口袋之间的相互作用模式做了详细的分析</w:t>
      </w:r>
      <w:r>
        <w:rPr>
          <w:vertAlign w:val="superscript"/>
        </w:rPr>
        <w:t>[33]</w:t>
      </w:r>
      <w:r>
        <w:t>。确定MARK4的关键结合残基和构象特征，为结构导向的抑制剂设计提供理论基础。</w:t>
      </w:r>
    </w:p>
    <w:p w14:paraId="636AD8EF">
      <w:pPr>
        <w:adjustRightInd w:val="0"/>
        <w:snapToGrid w:val="0"/>
        <w:ind w:firstLine="480"/>
      </w:pPr>
      <w:r>
        <w:t>从功能验证的角度来讲，Levy等（2013）报道了一系列具有较高选择性的MARK抑制剂，在细胞模型中能够有效地抑制Tau的过度磷酸化</w:t>
      </w:r>
      <w:r>
        <w:rPr>
          <w:vertAlign w:val="superscript"/>
        </w:rPr>
        <w:t>[34]</w:t>
      </w:r>
      <w:r>
        <w:t>。这些研究显示，针对MARK的小分子抑制剂在生化水平上有活性，也可以在复杂的细胞环境中发挥预期的效果。</w:t>
      </w:r>
    </w:p>
    <w:p w14:paraId="3D677CF1">
      <w:pPr>
        <w:adjustRightInd w:val="0"/>
        <w:snapToGrid w:val="0"/>
        <w:ind w:firstLine="480"/>
      </w:pPr>
      <w:r>
        <w:t>随着检测技术的发展，高通量、高精度的筛选方法又推动了MARK抑制剂的研究。Hrubá等（2022）创建了一个依靠MALDI-TOF质谱的激酶活性检测方法，可以直接定量分析MARK催化反应的产物</w:t>
      </w:r>
      <w:r>
        <w:rPr>
          <w:vertAlign w:val="superscript"/>
        </w:rPr>
        <w:t>[35]</w:t>
      </w:r>
      <w:r>
        <w:t>。该方法大大提高了抑制剂筛选的灵敏度和通量，为之后化合物库的系统筛选打下了技术基础。</w:t>
      </w:r>
    </w:p>
    <w:p w14:paraId="12D26AE6">
      <w:pPr>
        <w:adjustRightInd w:val="0"/>
        <w:snapToGrid w:val="0"/>
        <w:ind w:firstLine="480"/>
      </w:pPr>
      <w:r>
        <w:t>在药物化学研究不断深入的时候，一些研究开始关注MARK抑制剂的选择性和安全性。Holub等（2018）对多种激酶抑制剂的交叉活性做了系统评价，认为在设计MARK抑制剂的时候要充分考虑与其他丝氨酸/苏氨酸激酶的潜在交叉抑制风险</w:t>
      </w:r>
      <w:r>
        <w:rPr>
          <w:vertAlign w:val="superscript"/>
        </w:rPr>
        <w:t>[36]</w:t>
      </w:r>
      <w:r>
        <w:t>。这一研究为提高MARK抑制剂的靶点选择性提供了重要警示。</w:t>
      </w:r>
    </w:p>
    <w:p w14:paraId="3A4192CF">
      <w:pPr>
        <w:adjustRightInd w:val="0"/>
        <w:snapToGrid w:val="0"/>
        <w:ind w:firstLine="480"/>
      </w:pPr>
      <w:r>
        <w:t>会议摘要和早期研究报告给该领域提供了非常有价值的信息。ACS会议摘要中系统介绍了MARK抑制剂的早期发现过程以及结构优化的思路，给后续研究指明了方向。</w:t>
      </w:r>
    </w:p>
    <w:p w14:paraId="3A4A8256">
      <w:pPr>
        <w:adjustRightInd w:val="0"/>
        <w:snapToGrid w:val="0"/>
        <w:ind w:firstLine="480"/>
      </w:pPr>
      <w:r>
        <w:t>因此，MARK抑制剂研究由最初的筛选功能发展成结构生物学、药物化学、细胞功能验证三者相结合的研究体系。这些研究为后来探索 MARK 抑制剂在阿尔兹海默症治疗中的应用打下了基础。</w:t>
      </w:r>
    </w:p>
    <w:p w14:paraId="3441388D">
      <w:pPr>
        <w:pStyle w:val="2"/>
        <w:numPr>
          <w:ilvl w:val="0"/>
          <w:numId w:val="1"/>
        </w:numPr>
        <w:ind w:firstLineChars="0"/>
      </w:pPr>
      <w:bookmarkStart w:id="18" w:name="_Toc1325"/>
      <w:r>
        <w:t>MARK 抑制剂的类型拓展与新策略</w:t>
      </w:r>
      <w:bookmarkEnd w:id="18"/>
    </w:p>
    <w:p w14:paraId="70F481C9">
      <w:pPr>
        <w:ind w:firstLine="480"/>
      </w:pPr>
      <w:r>
        <w:t>在以合成小分子为主的MARK抑制剂研究取得阶段性成果的基础上，近几年来研究者开始把视野拓展到更加多样化的干预策略上，即内源性分子、天然产物以及“老药新用”等途径。这些研究丰富了MARK抑制剂的分子种类，也给选择性、安全性以及临床转化等问题提供新的思路。</w:t>
      </w:r>
    </w:p>
    <w:p w14:paraId="367F758A">
      <w:pPr>
        <w:ind w:firstLine="480"/>
      </w:pPr>
      <w:r>
        <w:t>在内源性分子方面，Waseem等（2021）首次报道了肌源性分泌蛋白Irisin与MARK4之间的直接相互作用</w:t>
      </w:r>
      <w:r>
        <w:rPr>
          <w:vertAlign w:val="superscript"/>
        </w:rPr>
        <w:t>[37]</w:t>
      </w:r>
      <w:r>
        <w:t>。研究通过分子对接、分子动力学模拟和生物物理实验发现，Irisin可以与MARK4的催化结构域形成稳定的复合物，从而抑制它的激酶活性。由于Irisin本身具有良好的生物相容性，所以为开发基于蛋白或者多肽的MARK调控策略提供了新的可能性。</w:t>
      </w:r>
    </w:p>
    <w:p w14:paraId="611C0934">
      <w:pPr>
        <w:ind w:firstLine="480"/>
      </w:pPr>
      <w:r>
        <w:t>在天然产物研究领域，Hussain等（2025）通过计算机辅助筛选和体外实验验证，发现β-咔啉类生物碱Harmane具有显著的MARK4抑制活性</w:t>
      </w:r>
      <w:r>
        <w:rPr>
          <w:vertAlign w:val="superscript"/>
        </w:rPr>
        <w:t>[38]</w:t>
      </w:r>
      <w:r>
        <w:t>。研究结果表明，Harmane可以稳定占据MARK4的ATP结合口袋，并有效抑制MARK4对Tau的磷酸化。天然产物化合物库可以作为寻找新型MARK抑制剂的资源。</w:t>
      </w:r>
    </w:p>
    <w:p w14:paraId="4723A594">
      <w:pPr>
        <w:ind w:firstLine="480"/>
      </w:pPr>
      <w:r>
        <w:t>除新分子类型外，“老药新用”策略在MARK抑制剂研究中也逐渐受到重视。Shamsi等（2020）发现，多奈哌齐和利斯的明等经典阿尔兹海默症对症治疗药物，除抑制乙酰胆碱酯酶外，还能够直接与MARK4结合并抑制其激酶活性</w:t>
      </w:r>
      <w:r>
        <w:rPr>
          <w:vertAlign w:val="superscript"/>
        </w:rPr>
        <w:t>[39]</w:t>
      </w:r>
      <w:r>
        <w:t>。该研究提示，部分临床已用药物可能通过多靶点机制发挥神经保护作用。</w:t>
      </w:r>
    </w:p>
    <w:p w14:paraId="5066D6E0">
      <w:pPr>
        <w:ind w:firstLine="480"/>
      </w:pPr>
      <w:r>
        <w:t>在此基础上，Adnan等(2023)进一步证明加兰他敏也有抑制MARK4的潜力。通过等温滴定量热法、分子动力学分析，该研究对加兰他敏与MARK4的结合模式及热力学特性做了系统的分析，为认识其多靶点作用机理赋予了分子层面的支撑</w:t>
      </w:r>
      <w:r>
        <w:rPr>
          <w:vertAlign w:val="superscript"/>
        </w:rPr>
        <w:t>[40]</w:t>
      </w:r>
      <w:r>
        <w:t>。</w:t>
      </w:r>
    </w:p>
    <w:p w14:paraId="569EEC70">
      <w:pPr>
        <w:ind w:firstLine="480"/>
      </w:pPr>
      <w:r>
        <w:t>抑制剂的研究范围不断扩大，药代动力学和选择性问题也越来越受重视。Sloman等（2016）认为，MARK抑制剂在保持活性的同时也要考虑血脑屏障的通透性及体内稳定性，否则就无法满足中枢神经系统疾病治疗的实际需要</w:t>
      </w:r>
      <w:r>
        <w:rPr>
          <w:vertAlign w:val="superscript"/>
        </w:rPr>
        <w:t>[41]</w:t>
      </w:r>
      <w:r>
        <w:t>。这一观点为后续抑制剂优化指明了方向。</w:t>
      </w:r>
    </w:p>
    <w:p w14:paraId="270846A2">
      <w:pPr>
        <w:ind w:firstLine="480"/>
      </w:pPr>
      <w:r>
        <w:t>从结构与机制延展角度看，Sack等（2016）的结构研究不仅为抑制剂设计提供了模板，也揭示了MARK4催化口袋的构象可塑性</w:t>
      </w:r>
      <w:r>
        <w:rPr>
          <w:vertAlign w:val="superscript"/>
        </w:rPr>
        <w:t>[42]</w:t>
      </w:r>
      <w:r>
        <w:t>。这一特性提示，未来可通过变构位点或非 ATP 竞争性方式实现更高选择性的MARK抑制。</w:t>
      </w:r>
    </w:p>
    <w:p w14:paraId="195DFAF2">
      <w:pPr>
        <w:ind w:firstLine="480"/>
      </w:pPr>
      <w:r>
        <w:t>Hrubá等（2022）提出的一种高通量激酶活性检测技术，可以快速地筛选出新型的MARK抑制剂，并且对MARK抑制剂的作用机制进行研究</w:t>
      </w:r>
      <w:r>
        <w:rPr>
          <w:vertAlign w:val="superscript"/>
        </w:rPr>
        <w:t>[43]</w:t>
      </w:r>
      <w:r>
        <w:t>。该方法的应用可以对不同的分子类型抑制剂的活性谱、选择性进行系统的评价。</w:t>
      </w:r>
    </w:p>
    <w:p w14:paraId="470A0CFC">
      <w:pPr>
        <w:pStyle w:val="2"/>
        <w:numPr>
          <w:ilvl w:val="0"/>
          <w:numId w:val="1"/>
        </w:numPr>
        <w:ind w:firstLineChars="0"/>
      </w:pPr>
      <w:bookmarkStart w:id="19" w:name="_Toc7042"/>
      <w:r>
        <w:t>MARK抑制剂的拓展应用与研究展望</w:t>
      </w:r>
      <w:bookmarkEnd w:id="19"/>
    </w:p>
    <w:p w14:paraId="63AA7CA1">
      <w:pPr>
        <w:ind w:firstLine="480"/>
      </w:pPr>
      <w:r>
        <w:t>虽然目前MARK抑制剂研究主要集中在阿尔兹海默症和Tau病相关领域，但是从激酶功能的广泛性以及细胞骨架调控的基础性来看，它的潜在应用并不限于某一疾病。随着研究视角的扩大，MARK抑制剂在其他疾病模型以及新的干预手段上的价值也逐渐被发现。</w:t>
      </w:r>
    </w:p>
    <w:p w14:paraId="060663D2">
      <w:pPr>
        <w:ind w:firstLine="480"/>
      </w:pPr>
      <w:r>
        <w:t>在药物研发早期阶段，会议报告和探索性研究为该领域提供了重要方向性信息。David Sloman等（2012）在ACS会议摘要中指出，MARK抑制剂在设计之初即被视为具有跨疾病应用潜力的分子工具，其不仅可用于研究Tau相关病理机制，还可作为探针分子用于解析微管动力学调控网络</w:t>
      </w:r>
      <w:r>
        <w:rPr>
          <w:vertAlign w:val="superscript"/>
        </w:rPr>
        <w:t>[44]</w:t>
      </w:r>
      <w:r>
        <w:t>。这一观点强调了 MARK抑制剂在基础研究与转化医学之间的桥梁作用。</w:t>
      </w:r>
    </w:p>
    <w:p w14:paraId="578066D2">
      <w:pPr>
        <w:ind w:firstLine="480"/>
        <w:rPr>
          <w:rFonts w:eastAsia="黑体"/>
          <w:kern w:val="0"/>
          <w:sz w:val="28"/>
          <w:szCs w:val="28"/>
        </w:rPr>
      </w:pPr>
      <w:r>
        <w:t>另外MARK相关通路与其它治疗策略的协同作用也开始被研究。Jonatan Dewulf等人（2025）认为，把靶向激酶调控同新的放射性或者靶向递送技术融合起来，或许会给中枢神经系统疾病精准干预赋予新思路</w:t>
      </w:r>
      <w:r>
        <w:rPr>
          <w:vertAlign w:val="superscript"/>
        </w:rPr>
        <w:t>[45]</w:t>
      </w:r>
      <w:r>
        <w:t>。虽然该研究并没有直接以阿尔兹海默症为研究对象，但是其提出的靶点调控和协同技术的理念，给MARK抑制剂以后精准治疗、联合治疗的应用提供重要的启示。MARK抑制剂研究由最初的单纯的激酶抑制研究，发展为现在的包含结构生物学、药物化学、疾病机制、转化应用的综合研究领域。未来研究需要持续改进抑制剂的选择性、提高中枢神经系统递送能力、确定长期安全性等。同时将MARK抑制策略同其它疾病修饰手段结合使用，可以进一步拓宽MARK抑制策略在神经退行性疾病以及更广泛疾病谱中的应用前景。</w:t>
      </w:r>
    </w:p>
    <w:p w14:paraId="485661BA">
      <w:pPr>
        <w:pStyle w:val="2"/>
        <w:numPr>
          <w:ilvl w:val="0"/>
          <w:numId w:val="1"/>
        </w:numPr>
        <w:ind w:firstLineChars="0"/>
      </w:pPr>
      <w:bookmarkStart w:id="20" w:name="_Toc3376"/>
      <w:r>
        <w:t>立题依据</w:t>
      </w:r>
      <w:bookmarkEnd w:id="20"/>
    </w:p>
    <w:p w14:paraId="69AF6F7C">
      <w:pPr>
        <w:bidi w:val="0"/>
      </w:pPr>
      <w:r>
        <w:tab/>
      </w:r>
      <w:r>
        <w:rPr>
          <w:rFonts w:hint="default"/>
        </w:rPr>
        <w:t>阿尔兹海默症（Alzheimer‘s disease，AD）属于中枢神经系统退行性疾病，核心表现是进行性认知功能障碍；它的发病过程挺复杂，牵涉多种病理机制，对全球公共卫生构成不小威胁。目前临床上还找不到能彻底治愈AD的理想药物，现有治疗手段——比如胆碱酯酶抑制剂（多奈哌齐、加兰他敏）和NMDA受体拮抗剂（美金刚）——只能部分改善症状，没法有效阻断病程进展；而且长期用下来可能伴随幻觉、头晕、肝毒性这些明显毒副作用，导致长期治疗效果不太理想。这么看来，寻找疗效更确切、安全性更优的新型治疗药物就变得迫在眉睫。</w:t>
      </w:r>
    </w:p>
    <w:p w14:paraId="686D8DCE">
      <w:pPr>
        <w:bidi w:val="0"/>
        <w:rPr>
          <w:rFonts w:hint="default"/>
        </w:rPr>
      </w:pPr>
      <w:r>
        <w:rPr>
          <w:rFonts w:hint="default"/>
        </w:rPr>
        <w:t>近年来，微管亲和力调节激酶（Microtubule Affinity-Regulating Kinase，MARK）家族在AD发病机制里的核心地位越来越受关注；MARK4就是这个家族的重要成员，它能特异性磷酸化微管相关蛋白Tau上的KXGS基序（比如Ser262、Ser356），从而降低Tau与微管的结合能力——一来导致微管结构失稳，二来造成轴突运输障碍，进而推动神经原纤维缠结的形成。可以说，MARK4被视为连接Aβ毒性、Tau病理和突触损伤的关键分子枢纽，也是AD药物研发中一个极具潜力的新型靶点。</w:t>
      </w:r>
    </w:p>
    <w:p w14:paraId="4F07E184">
      <w:pPr>
        <w:ind w:firstLine="480"/>
      </w:pPr>
      <w:r>
        <w:t>在MARK抑制剂的研究领域，嘧啶类骨架结构因其良好的激酶ATP结合口袋亲和力而受到广泛关注。已有研究报道了以吡唑并嘧啶为骨架的MARK抑制剂，在体外酶活性和细胞模型中均能有效抑制MARK激酶活性并降低Tau磷酸化水平。然而，该类抑制剂的分子类型仍相对有限，且存在选择性不足、中枢神经系统渗透性差等问题，亟需开发结构新颖、合成便捷的嘧啶类MARK抑制剂，以丰富先导化合物库并推动构效关系研究。</w:t>
      </w:r>
    </w:p>
    <w:p w14:paraId="29BDD393">
      <w:pPr>
        <w:bidi w:val="0"/>
      </w:pPr>
      <w:r>
        <w:t>本文所研究的嘧啶类化合物便是一类新型MARK抑制剂，该类化合物以其独特的嘧啶骨架结构和潜在的MARK抑制活性引起了科研工作者的广泛关注。故而，研发该类化合物高效、便捷的合成研究方法具有重要的现实价值。</w:t>
      </w:r>
      <w:r>
        <w:rPr>
          <w:rFonts w:ascii="var(--dsw-font-markdown-base)" w:hAnsi="var(--dsw-font-markdown-base)" w:eastAsia="var(--dsw-font-markdown-base)" w:cs="var(--dsw-font-markdown-base)"/>
        </w:rPr>
        <w:t>基于先导化合物，项目组对目标产物做了逆合成分析，试图找出一条科学合理的合成路线。</w:t>
      </w:r>
      <w:r>
        <w:t>经系统研究，以2-甲硫基-4-氯嘧啶-5-甲酸乙酯作起始原料，先跟盐酸羟胺反应拿到中间体Ⅰ；中间体Ⅰ再跟不同取代的芳胺（比如间氟苯胺、对甲氧基苯胺等）发生缩合反应，制得中间体Ⅱ；中间体Ⅱ在冰浴条件下与丙酰氯反应，引入丙酰胺结构，最终获得目标产物。随后用核磁共振氢谱（1H-NMR、13C-NMR）对产物进行结构确证，结果表明所有目标产物结构正确。该实验开发的合成方法能为同类目标产物的高效合成提供技术支持，所得目标化合物也为后续MARK激酶活性筛选及抗AD药效评价打下理论和实践基础，具备一定科研意义。</w:t>
      </w:r>
    </w:p>
    <w:p w14:paraId="76DDFCE9">
      <w:pPr>
        <w:keepNext w:val="0"/>
        <w:keepLines w:val="0"/>
        <w:widowControl/>
        <w:suppressLineNumbers w:val="0"/>
        <w:pBdr>
          <w:top w:val="none" w:color="auto" w:sz="0" w:space="0"/>
          <w:bottom w:val="none" w:color="auto" w:sz="0" w:space="0"/>
        </w:pBdr>
        <w:jc w:val="left"/>
      </w:pPr>
    </w:p>
    <w:p w14:paraId="5C9FBB4C">
      <w:pPr>
        <w:ind w:firstLine="480"/>
      </w:pPr>
    </w:p>
    <w:p w14:paraId="76AC3AB0">
      <w:pPr>
        <w:ind w:firstLine="482"/>
        <w:rPr>
          <w:rFonts w:cs="Times New Roman"/>
          <w:b/>
          <w:bCs/>
        </w:rPr>
      </w:pPr>
      <w:r>
        <w:rPr>
          <w:rFonts w:cs="Times New Roman"/>
          <w:b/>
          <w:bCs/>
        </w:rPr>
        <w:br w:type="page"/>
      </w:r>
    </w:p>
    <w:p w14:paraId="55597A8B">
      <w:pPr>
        <w:ind w:firstLine="0" w:firstLineChars="0"/>
        <w:contextualSpacing/>
        <w:rPr>
          <w:rFonts w:cs="Times New Roman"/>
          <w:b/>
          <w:bCs/>
        </w:rPr>
      </w:pPr>
    </w:p>
    <w:p w14:paraId="1D655ADD">
      <w:pPr>
        <w:pStyle w:val="2"/>
        <w:ind w:firstLine="600"/>
        <w:jc w:val="center"/>
      </w:pPr>
      <w:bookmarkStart w:id="21" w:name="_Toc15636"/>
      <w:r>
        <w:rPr>
          <w:rFonts w:hint="eastAsia"/>
        </w:rPr>
        <w:t xml:space="preserve">第二章  </w:t>
      </w:r>
      <w:r>
        <w:t>实验部分</w:t>
      </w:r>
      <w:bookmarkEnd w:id="21"/>
    </w:p>
    <w:p w14:paraId="5A641EB9">
      <w:pPr>
        <w:pStyle w:val="2"/>
        <w:numPr>
          <w:ilvl w:val="0"/>
          <w:numId w:val="2"/>
        </w:numPr>
        <w:ind w:firstLineChars="0"/>
      </w:pPr>
      <w:bookmarkStart w:id="22" w:name="_Toc30163"/>
      <w:r>
        <w:t>材料与设备</w:t>
      </w:r>
      <w:bookmarkEnd w:id="22"/>
    </w:p>
    <w:p w14:paraId="402AC98E">
      <w:pPr>
        <w:pStyle w:val="5"/>
        <w:numPr>
          <w:ilvl w:val="1"/>
          <w:numId w:val="2"/>
        </w:numPr>
        <w:ind w:firstLineChars="0"/>
        <w:rPr>
          <w:rFonts w:hint="default"/>
        </w:rPr>
      </w:pPr>
      <w:bookmarkStart w:id="23" w:name="_Toc11457"/>
      <w:r>
        <w:rPr>
          <w:rFonts w:hint="default"/>
        </w:rPr>
        <w:t>仪器设备</w:t>
      </w:r>
      <w:bookmarkEnd w:id="23"/>
    </w:p>
    <w:p w14:paraId="5A702D29">
      <w:pPr>
        <w:pStyle w:val="7"/>
        <w:bidi w:val="0"/>
      </w:pPr>
      <w:r>
        <w:t xml:space="preserve">表2. </w:t>
      </w:r>
      <w:r>
        <w:fldChar w:fldCharType="begin"/>
      </w:r>
      <w:r>
        <w:instrText xml:space="preserve"> SEQ 表2. \* ARABIC </w:instrText>
      </w:r>
      <w:r>
        <w:fldChar w:fldCharType="separate"/>
      </w:r>
      <w:r>
        <w:t>1</w:t>
      </w:r>
      <w:r>
        <w:fldChar w:fldCharType="end"/>
      </w:r>
      <w:r>
        <w:t>仪器设备</w:t>
      </w:r>
    </w:p>
    <w:tbl>
      <w:tblPr>
        <w:tblStyle w:val="22"/>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2"/>
        <w:gridCol w:w="2886"/>
        <w:gridCol w:w="2954"/>
      </w:tblGrid>
      <w:tr w14:paraId="3D5193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tcBorders>
              <w:top w:val="single" w:color="auto" w:sz="4" w:space="0"/>
              <w:bottom w:val="single" w:color="auto" w:sz="4" w:space="0"/>
            </w:tcBorders>
            <w:vAlign w:val="center"/>
          </w:tcPr>
          <w:p w14:paraId="11B9300A">
            <w:pPr>
              <w:ind w:firstLine="0" w:firstLineChars="0"/>
              <w:jc w:val="center"/>
            </w:pPr>
            <w:r>
              <w:t>仪器名称</w:t>
            </w:r>
          </w:p>
        </w:tc>
        <w:tc>
          <w:tcPr>
            <w:tcW w:w="1693" w:type="pct"/>
            <w:tcBorders>
              <w:top w:val="single" w:color="auto" w:sz="4" w:space="0"/>
              <w:bottom w:val="single" w:color="auto" w:sz="4" w:space="0"/>
            </w:tcBorders>
            <w:vAlign w:val="center"/>
          </w:tcPr>
          <w:p w14:paraId="0245C623">
            <w:pPr>
              <w:ind w:firstLine="0" w:firstLineChars="0"/>
              <w:jc w:val="center"/>
            </w:pPr>
            <w:r>
              <w:t>规格型号</w:t>
            </w:r>
          </w:p>
        </w:tc>
        <w:tc>
          <w:tcPr>
            <w:tcW w:w="1733" w:type="pct"/>
            <w:tcBorders>
              <w:top w:val="single" w:color="auto" w:sz="4" w:space="0"/>
              <w:bottom w:val="single" w:color="auto" w:sz="4" w:space="0"/>
            </w:tcBorders>
            <w:vAlign w:val="center"/>
          </w:tcPr>
          <w:p w14:paraId="4C298973">
            <w:pPr>
              <w:ind w:firstLine="0" w:firstLineChars="0"/>
              <w:jc w:val="center"/>
            </w:pPr>
            <w:r>
              <w:t>生产厂商</w:t>
            </w:r>
          </w:p>
        </w:tc>
      </w:tr>
      <w:tr w14:paraId="186A07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tcBorders>
              <w:top w:val="single" w:color="auto" w:sz="4" w:space="0"/>
            </w:tcBorders>
            <w:vAlign w:val="center"/>
          </w:tcPr>
          <w:p w14:paraId="7AF34EF5">
            <w:pPr>
              <w:ind w:firstLine="0" w:firstLineChars="0"/>
              <w:jc w:val="center"/>
            </w:pPr>
            <w:r>
              <w:t>核磁共振波谱仪</w:t>
            </w:r>
          </w:p>
        </w:tc>
        <w:tc>
          <w:tcPr>
            <w:tcW w:w="1693" w:type="pct"/>
            <w:tcBorders>
              <w:top w:val="single" w:color="auto" w:sz="4" w:space="0"/>
            </w:tcBorders>
            <w:vAlign w:val="center"/>
          </w:tcPr>
          <w:p w14:paraId="2F38E11C">
            <w:pPr>
              <w:ind w:firstLine="0" w:firstLineChars="0"/>
              <w:jc w:val="center"/>
            </w:pPr>
            <w:r>
              <w:t>Avance 600 MHz</w:t>
            </w:r>
          </w:p>
        </w:tc>
        <w:tc>
          <w:tcPr>
            <w:tcW w:w="1733" w:type="pct"/>
            <w:tcBorders>
              <w:top w:val="single" w:color="auto" w:sz="4" w:space="0"/>
            </w:tcBorders>
            <w:vAlign w:val="center"/>
          </w:tcPr>
          <w:p w14:paraId="03402D3D">
            <w:pPr>
              <w:ind w:firstLine="0" w:firstLineChars="0"/>
              <w:jc w:val="center"/>
            </w:pPr>
            <w:r>
              <w:t>Bruker</w:t>
            </w:r>
          </w:p>
        </w:tc>
      </w:tr>
      <w:tr w14:paraId="3233C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144F3C5B">
            <w:pPr>
              <w:ind w:firstLine="0" w:firstLineChars="0"/>
              <w:jc w:val="center"/>
            </w:pPr>
            <w:r>
              <w:t>集热式恒温加热磁力搅拌器</w:t>
            </w:r>
          </w:p>
        </w:tc>
        <w:tc>
          <w:tcPr>
            <w:tcW w:w="1693" w:type="pct"/>
            <w:vAlign w:val="center"/>
          </w:tcPr>
          <w:p w14:paraId="2E24A470">
            <w:pPr>
              <w:ind w:firstLine="0" w:firstLineChars="0"/>
              <w:jc w:val="center"/>
            </w:pPr>
            <w:r>
              <w:t>DF-101Z</w:t>
            </w:r>
          </w:p>
        </w:tc>
        <w:tc>
          <w:tcPr>
            <w:tcW w:w="1733" w:type="pct"/>
            <w:vAlign w:val="center"/>
          </w:tcPr>
          <w:p w14:paraId="48BF71CE">
            <w:pPr>
              <w:ind w:firstLine="0" w:firstLineChars="0"/>
              <w:jc w:val="center"/>
            </w:pPr>
            <w:r>
              <w:t>上海力辰邦西仪器科技有限公司</w:t>
            </w:r>
          </w:p>
        </w:tc>
      </w:tr>
      <w:tr w14:paraId="47EA92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1097CBBE">
            <w:pPr>
              <w:ind w:firstLine="0" w:firstLineChars="0"/>
              <w:jc w:val="center"/>
            </w:pPr>
            <w:r>
              <w:t>循环水式多用真空泵</w:t>
            </w:r>
          </w:p>
        </w:tc>
        <w:tc>
          <w:tcPr>
            <w:tcW w:w="1693" w:type="pct"/>
            <w:vAlign w:val="center"/>
          </w:tcPr>
          <w:p w14:paraId="0A32DC6A">
            <w:pPr>
              <w:ind w:firstLine="0" w:firstLineChars="0"/>
              <w:jc w:val="center"/>
            </w:pPr>
            <w:r>
              <w:t>SHZ-D（Ⅲ）</w:t>
            </w:r>
          </w:p>
        </w:tc>
        <w:tc>
          <w:tcPr>
            <w:tcW w:w="1733" w:type="pct"/>
            <w:vAlign w:val="center"/>
          </w:tcPr>
          <w:p w14:paraId="5661494C">
            <w:pPr>
              <w:ind w:firstLine="0" w:firstLineChars="0"/>
              <w:jc w:val="center"/>
            </w:pPr>
            <w:r>
              <w:t>巩义市予华器有限责任公司</w:t>
            </w:r>
          </w:p>
        </w:tc>
      </w:tr>
      <w:tr w14:paraId="43B6A4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3C345F4B">
            <w:pPr>
              <w:ind w:firstLine="0" w:firstLineChars="0"/>
              <w:jc w:val="center"/>
            </w:pPr>
            <w:r>
              <w:t>超声波清洗器</w:t>
            </w:r>
          </w:p>
        </w:tc>
        <w:tc>
          <w:tcPr>
            <w:tcW w:w="1693" w:type="pct"/>
            <w:vAlign w:val="center"/>
          </w:tcPr>
          <w:p w14:paraId="10CC9E9F">
            <w:pPr>
              <w:ind w:firstLine="0" w:firstLineChars="0"/>
              <w:jc w:val="center"/>
            </w:pPr>
            <w:r>
              <w:t>SK8200BT</w:t>
            </w:r>
          </w:p>
        </w:tc>
        <w:tc>
          <w:tcPr>
            <w:tcW w:w="1733" w:type="pct"/>
            <w:vAlign w:val="center"/>
          </w:tcPr>
          <w:p w14:paraId="30D3EC44">
            <w:pPr>
              <w:ind w:firstLine="0" w:firstLineChars="0"/>
              <w:jc w:val="center"/>
            </w:pPr>
            <w:r>
              <w:t>上海科导超声仪器有限公司</w:t>
            </w:r>
          </w:p>
        </w:tc>
      </w:tr>
      <w:tr w14:paraId="2E7FF0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7C99D832">
            <w:pPr>
              <w:ind w:firstLine="0" w:firstLineChars="0"/>
              <w:jc w:val="center"/>
            </w:pPr>
            <w:r>
              <w:t>电热鼓风干燥箱</w:t>
            </w:r>
          </w:p>
        </w:tc>
        <w:tc>
          <w:tcPr>
            <w:tcW w:w="1693" w:type="pct"/>
            <w:vAlign w:val="center"/>
          </w:tcPr>
          <w:p w14:paraId="2851085C">
            <w:pPr>
              <w:ind w:firstLine="0" w:firstLineChars="0"/>
              <w:jc w:val="center"/>
            </w:pPr>
            <w:r>
              <w:t>101-3</w:t>
            </w:r>
          </w:p>
        </w:tc>
        <w:tc>
          <w:tcPr>
            <w:tcW w:w="1733" w:type="pct"/>
            <w:vAlign w:val="center"/>
          </w:tcPr>
          <w:p w14:paraId="3691922D">
            <w:pPr>
              <w:ind w:firstLine="0" w:firstLineChars="0"/>
              <w:jc w:val="center"/>
            </w:pPr>
            <w:r>
              <w:t>天津市泰斯特仪器有限公司</w:t>
            </w:r>
          </w:p>
        </w:tc>
      </w:tr>
      <w:tr w14:paraId="1DD25D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316FFA2A">
            <w:pPr>
              <w:ind w:firstLine="0" w:firstLineChars="0"/>
              <w:jc w:val="center"/>
            </w:pPr>
            <w:r>
              <w:t>四氟磁力搅拌子</w:t>
            </w:r>
          </w:p>
        </w:tc>
        <w:tc>
          <w:tcPr>
            <w:tcW w:w="1693" w:type="pct"/>
            <w:vAlign w:val="center"/>
          </w:tcPr>
          <w:p w14:paraId="48EF935B">
            <w:pPr>
              <w:ind w:firstLine="0" w:firstLineChars="0"/>
              <w:jc w:val="center"/>
            </w:pPr>
            <w:r>
              <w:t>A13*30mm</w:t>
            </w:r>
          </w:p>
        </w:tc>
        <w:tc>
          <w:tcPr>
            <w:tcW w:w="1733" w:type="pct"/>
            <w:vAlign w:val="center"/>
          </w:tcPr>
          <w:p w14:paraId="35A5C99A">
            <w:pPr>
              <w:ind w:firstLine="0" w:firstLineChars="0"/>
              <w:jc w:val="center"/>
            </w:pPr>
            <w:r>
              <w:t>重庆欣维尔玻璃仪器有限公司</w:t>
            </w:r>
          </w:p>
        </w:tc>
      </w:tr>
      <w:tr w14:paraId="44246B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7DF2D2D8">
            <w:pPr>
              <w:ind w:firstLine="0" w:firstLineChars="0"/>
              <w:jc w:val="center"/>
            </w:pPr>
            <w:r>
              <w:t>磁力搅拌器</w:t>
            </w:r>
          </w:p>
        </w:tc>
        <w:tc>
          <w:tcPr>
            <w:tcW w:w="1693" w:type="pct"/>
            <w:vAlign w:val="center"/>
          </w:tcPr>
          <w:p w14:paraId="67EFDA43">
            <w:pPr>
              <w:ind w:firstLine="0" w:firstLineChars="0"/>
              <w:jc w:val="center"/>
            </w:pPr>
            <w:r>
              <w:t>85-1</w:t>
            </w:r>
          </w:p>
        </w:tc>
        <w:tc>
          <w:tcPr>
            <w:tcW w:w="1733" w:type="pct"/>
            <w:vAlign w:val="center"/>
          </w:tcPr>
          <w:p w14:paraId="4937F540">
            <w:pPr>
              <w:ind w:firstLine="0" w:firstLineChars="0"/>
              <w:jc w:val="center"/>
            </w:pPr>
            <w:r>
              <w:t>常州奥华仪器有限公司</w:t>
            </w:r>
          </w:p>
        </w:tc>
      </w:tr>
      <w:tr w14:paraId="20805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07DEDB62">
            <w:pPr>
              <w:ind w:firstLine="0" w:firstLineChars="0"/>
              <w:jc w:val="center"/>
            </w:pPr>
            <w:r>
              <w:t>电子天平</w:t>
            </w:r>
          </w:p>
        </w:tc>
        <w:tc>
          <w:tcPr>
            <w:tcW w:w="1693" w:type="pct"/>
            <w:vAlign w:val="center"/>
          </w:tcPr>
          <w:p w14:paraId="299BC215">
            <w:pPr>
              <w:ind w:firstLine="0" w:firstLineChars="0"/>
              <w:jc w:val="center"/>
            </w:pPr>
            <w:r>
              <w:t>AR2140</w:t>
            </w:r>
          </w:p>
        </w:tc>
        <w:tc>
          <w:tcPr>
            <w:tcW w:w="1733" w:type="pct"/>
            <w:vAlign w:val="center"/>
          </w:tcPr>
          <w:p w14:paraId="7724416E">
            <w:pPr>
              <w:ind w:firstLine="0" w:firstLineChars="0"/>
              <w:jc w:val="center"/>
            </w:pPr>
            <w:r>
              <w:t>奥豪斯仪器有限公司</w:t>
            </w:r>
          </w:p>
        </w:tc>
      </w:tr>
      <w:tr w14:paraId="3C85A1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vAlign w:val="center"/>
          </w:tcPr>
          <w:p w14:paraId="42ED5FA7">
            <w:pPr>
              <w:ind w:firstLine="0" w:firstLineChars="0"/>
              <w:jc w:val="center"/>
            </w:pPr>
            <w:r>
              <w:t>玻璃烧瓶</w:t>
            </w:r>
          </w:p>
        </w:tc>
        <w:tc>
          <w:tcPr>
            <w:tcW w:w="1693" w:type="pct"/>
            <w:vAlign w:val="center"/>
          </w:tcPr>
          <w:p w14:paraId="4B7020DB">
            <w:pPr>
              <w:ind w:firstLine="0" w:firstLineChars="0"/>
              <w:jc w:val="center"/>
            </w:pPr>
            <w:r>
              <w:t>50 mL、250 mL</w:t>
            </w:r>
          </w:p>
        </w:tc>
        <w:tc>
          <w:tcPr>
            <w:tcW w:w="1733" w:type="pct"/>
            <w:vAlign w:val="center"/>
          </w:tcPr>
          <w:p w14:paraId="27BA476B">
            <w:pPr>
              <w:ind w:firstLine="0" w:firstLineChars="0"/>
              <w:jc w:val="center"/>
            </w:pPr>
            <w:r>
              <w:t>重庆欣维尔玻璃仪器有限公司</w:t>
            </w:r>
          </w:p>
        </w:tc>
      </w:tr>
      <w:tr w14:paraId="3D3F48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3" w:type="pct"/>
            <w:tcBorders>
              <w:bottom w:val="single" w:color="auto" w:sz="4" w:space="0"/>
            </w:tcBorders>
            <w:vAlign w:val="center"/>
          </w:tcPr>
          <w:p w14:paraId="7BDED2CE">
            <w:pPr>
              <w:ind w:firstLine="0" w:firstLineChars="0"/>
              <w:jc w:val="center"/>
            </w:pPr>
            <w:r>
              <w:t>玻璃漏斗</w:t>
            </w:r>
          </w:p>
        </w:tc>
        <w:tc>
          <w:tcPr>
            <w:tcW w:w="1693" w:type="pct"/>
            <w:tcBorders>
              <w:bottom w:val="single" w:color="auto" w:sz="4" w:space="0"/>
            </w:tcBorders>
            <w:vAlign w:val="center"/>
          </w:tcPr>
          <w:p w14:paraId="434FBAA4">
            <w:pPr>
              <w:ind w:firstLine="0" w:firstLineChars="0"/>
              <w:jc w:val="center"/>
            </w:pPr>
            <w:r>
              <w:t>30 mL、60 mL</w:t>
            </w:r>
          </w:p>
        </w:tc>
        <w:tc>
          <w:tcPr>
            <w:tcW w:w="1733" w:type="pct"/>
            <w:tcBorders>
              <w:bottom w:val="single" w:color="auto" w:sz="4" w:space="0"/>
            </w:tcBorders>
            <w:vAlign w:val="center"/>
          </w:tcPr>
          <w:p w14:paraId="73B8F6A3">
            <w:pPr>
              <w:ind w:firstLine="0" w:firstLineChars="0"/>
              <w:jc w:val="center"/>
            </w:pPr>
            <w:r>
              <w:t>重庆欣维尔玻璃仪器有限公司</w:t>
            </w:r>
          </w:p>
        </w:tc>
      </w:tr>
    </w:tbl>
    <w:p w14:paraId="0D83E34B">
      <w:pPr>
        <w:pStyle w:val="5"/>
        <w:numPr>
          <w:ilvl w:val="1"/>
          <w:numId w:val="2"/>
        </w:numPr>
        <w:ind w:firstLineChars="0"/>
        <w:rPr>
          <w:rFonts w:hint="default"/>
        </w:rPr>
      </w:pPr>
      <w:bookmarkStart w:id="24" w:name="_Toc20526"/>
      <w:bookmarkStart w:id="25" w:name="_Toc25531"/>
      <w:bookmarkStart w:id="26" w:name="_Toc29987"/>
      <w:r>
        <w:rPr>
          <w:rFonts w:hint="default"/>
        </w:rPr>
        <w:t>材料与试剂</w:t>
      </w:r>
      <w:bookmarkEnd w:id="24"/>
      <w:bookmarkEnd w:id="25"/>
      <w:bookmarkEnd w:id="26"/>
    </w:p>
    <w:p w14:paraId="68B1996B">
      <w:pPr>
        <w:pStyle w:val="7"/>
        <w:keepNext/>
        <w:keepLines w:val="0"/>
        <w:pageBreakBefore w:val="0"/>
        <w:widowControl w:val="0"/>
        <w:kinsoku/>
        <w:wordWrap/>
        <w:overflowPunct/>
        <w:topLinePunct w:val="0"/>
        <w:autoSpaceDE/>
        <w:autoSpaceDN/>
        <w:bidi w:val="0"/>
        <w:adjustRightInd/>
        <w:snapToGrid/>
        <w:textAlignment w:val="auto"/>
      </w:pPr>
      <w:r>
        <w:t xml:space="preserve">表2. </w:t>
      </w:r>
      <w:r>
        <w:fldChar w:fldCharType="begin"/>
      </w:r>
      <w:r>
        <w:instrText xml:space="preserve"> SEQ 表2. \* ARABIC </w:instrText>
      </w:r>
      <w:r>
        <w:fldChar w:fldCharType="separate"/>
      </w:r>
      <w:r>
        <w:t>2</w:t>
      </w:r>
      <w:r>
        <w:fldChar w:fldCharType="end"/>
      </w:r>
      <w:r>
        <w:rPr>
          <w:rFonts w:eastAsia="黑体" w:cs="Times New Roman"/>
          <w:sz w:val="21"/>
          <w:szCs w:val="21"/>
        </w:rPr>
        <w:t>材料试剂</w:t>
      </w:r>
    </w:p>
    <w:tbl>
      <w:tblPr>
        <w:tblStyle w:val="2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1"/>
        <w:gridCol w:w="2240"/>
        <w:gridCol w:w="3431"/>
      </w:tblGrid>
      <w:tr w14:paraId="0693C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jc w:val="center"/>
        </w:trPr>
        <w:tc>
          <w:tcPr>
            <w:tcW w:w="1673" w:type="pct"/>
            <w:tcBorders>
              <w:top w:val="single" w:color="auto" w:sz="12" w:space="0"/>
              <w:bottom w:val="single" w:color="auto" w:sz="6" w:space="0"/>
            </w:tcBorders>
            <w:vAlign w:val="center"/>
          </w:tcPr>
          <w:p w14:paraId="23815E5B">
            <w:pPr>
              <w:adjustRightInd w:val="0"/>
              <w:snapToGrid w:val="0"/>
              <w:spacing w:line="480" w:lineRule="auto"/>
              <w:ind w:firstLine="0" w:firstLineChars="0"/>
              <w:jc w:val="center"/>
              <w:rPr>
                <w:rFonts w:cs="Times New Roman" w:eastAsiaTheme="minorEastAsia"/>
              </w:rPr>
            </w:pPr>
            <w:r>
              <w:rPr>
                <w:rFonts w:cs="Times New Roman" w:eastAsiaTheme="minorEastAsia"/>
              </w:rPr>
              <w:t>试剂名称</w:t>
            </w:r>
          </w:p>
        </w:tc>
        <w:tc>
          <w:tcPr>
            <w:tcW w:w="1314" w:type="pct"/>
            <w:tcBorders>
              <w:top w:val="single" w:color="auto" w:sz="12" w:space="0"/>
              <w:bottom w:val="single" w:color="auto" w:sz="6" w:space="0"/>
            </w:tcBorders>
            <w:vAlign w:val="center"/>
          </w:tcPr>
          <w:p w14:paraId="5549D265">
            <w:pPr>
              <w:adjustRightInd w:val="0"/>
              <w:snapToGrid w:val="0"/>
              <w:spacing w:line="480" w:lineRule="auto"/>
              <w:ind w:firstLine="0" w:firstLineChars="0"/>
              <w:jc w:val="center"/>
              <w:rPr>
                <w:rFonts w:cs="Times New Roman" w:eastAsiaTheme="minorEastAsia"/>
              </w:rPr>
            </w:pPr>
            <w:r>
              <w:rPr>
                <w:rFonts w:cs="Times New Roman" w:eastAsiaTheme="minorEastAsia"/>
              </w:rPr>
              <w:t>批号</w:t>
            </w:r>
          </w:p>
        </w:tc>
        <w:tc>
          <w:tcPr>
            <w:tcW w:w="2013" w:type="pct"/>
            <w:tcBorders>
              <w:top w:val="single" w:color="auto" w:sz="12" w:space="0"/>
              <w:bottom w:val="single" w:color="auto" w:sz="6" w:space="0"/>
            </w:tcBorders>
            <w:vAlign w:val="center"/>
          </w:tcPr>
          <w:p w14:paraId="68187E37">
            <w:pPr>
              <w:adjustRightInd w:val="0"/>
              <w:snapToGrid w:val="0"/>
              <w:spacing w:line="480" w:lineRule="auto"/>
              <w:ind w:firstLine="0" w:firstLineChars="0"/>
              <w:jc w:val="center"/>
              <w:rPr>
                <w:rFonts w:cs="Times New Roman" w:eastAsiaTheme="minorEastAsia"/>
              </w:rPr>
            </w:pPr>
            <w:r>
              <w:rPr>
                <w:rFonts w:cs="Times New Roman" w:eastAsiaTheme="minorEastAsia"/>
              </w:rPr>
              <w:t>厂家</w:t>
            </w:r>
          </w:p>
        </w:tc>
      </w:tr>
      <w:tr w14:paraId="18EAF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673" w:type="pct"/>
            <w:tcBorders>
              <w:top w:val="single" w:color="auto" w:sz="6" w:space="0"/>
              <w:tl2br w:val="nil"/>
              <w:tr2bl w:val="nil"/>
            </w:tcBorders>
            <w:vAlign w:val="center"/>
          </w:tcPr>
          <w:p w14:paraId="1E06A35A">
            <w:pPr>
              <w:adjustRightInd w:val="0"/>
              <w:snapToGrid w:val="0"/>
              <w:spacing w:line="480" w:lineRule="auto"/>
              <w:ind w:firstLine="0" w:firstLineChars="0"/>
              <w:jc w:val="center"/>
              <w:rPr>
                <w:rFonts w:cs="Times New Roman" w:eastAsiaTheme="minorEastAsia"/>
              </w:rPr>
            </w:pPr>
            <w:r>
              <w:rPr>
                <w:rFonts w:cs="Times New Roman" w:eastAsiaTheme="minorEastAsia"/>
                <w:color w:val="000000"/>
                <w:kern w:val="0"/>
              </w:rPr>
              <w:t>2-甲硫基-4-氯嘧啶-5-甲酸乙酯</w:t>
            </w:r>
          </w:p>
        </w:tc>
        <w:tc>
          <w:tcPr>
            <w:tcW w:w="1314" w:type="pct"/>
            <w:tcBorders>
              <w:top w:val="single" w:color="auto" w:sz="6" w:space="0"/>
              <w:tl2br w:val="nil"/>
              <w:tr2bl w:val="nil"/>
            </w:tcBorders>
            <w:vAlign w:val="center"/>
          </w:tcPr>
          <w:p w14:paraId="3AC06C6B">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R23083881</w:t>
            </w:r>
          </w:p>
        </w:tc>
        <w:tc>
          <w:tcPr>
            <w:tcW w:w="2013" w:type="pct"/>
            <w:tcBorders>
              <w:top w:val="single" w:color="auto" w:sz="6" w:space="0"/>
              <w:tl2br w:val="nil"/>
              <w:tr2bl w:val="nil"/>
            </w:tcBorders>
            <w:vAlign w:val="center"/>
          </w:tcPr>
          <w:p w14:paraId="3EDD8158">
            <w:pPr>
              <w:adjustRightInd w:val="0"/>
              <w:snapToGrid w:val="0"/>
              <w:spacing w:line="480" w:lineRule="auto"/>
              <w:ind w:firstLine="0" w:firstLineChars="0"/>
              <w:jc w:val="center"/>
              <w:rPr>
                <w:rFonts w:cs="Times New Roman" w:eastAsiaTheme="minorEastAsia"/>
              </w:rPr>
            </w:pPr>
            <w:r>
              <w:rPr>
                <w:rFonts w:cs="Times New Roman" w:eastAsiaTheme="minorEastAsia"/>
              </w:rPr>
              <w:t>上海韶远科技有限公司</w:t>
            </w:r>
          </w:p>
        </w:tc>
      </w:tr>
      <w:tr w14:paraId="1FAEE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4751B9AF">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三乙胺</w:t>
            </w:r>
          </w:p>
        </w:tc>
        <w:tc>
          <w:tcPr>
            <w:tcW w:w="1314" w:type="pct"/>
            <w:tcBorders>
              <w:tl2br w:val="nil"/>
              <w:tr2bl w:val="nil"/>
            </w:tcBorders>
            <w:vAlign w:val="center"/>
          </w:tcPr>
          <w:p w14:paraId="5C951868">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C10242074</w:t>
            </w:r>
          </w:p>
        </w:tc>
        <w:tc>
          <w:tcPr>
            <w:tcW w:w="2013" w:type="pct"/>
            <w:tcBorders>
              <w:tl2br w:val="nil"/>
              <w:tr2bl w:val="nil"/>
            </w:tcBorders>
            <w:vAlign w:val="center"/>
          </w:tcPr>
          <w:p w14:paraId="6969D870">
            <w:pPr>
              <w:adjustRightInd w:val="0"/>
              <w:snapToGrid w:val="0"/>
              <w:spacing w:line="480" w:lineRule="auto"/>
              <w:ind w:firstLine="0" w:firstLineChars="0"/>
              <w:jc w:val="center"/>
              <w:rPr>
                <w:rFonts w:cs="Times New Roman" w:eastAsiaTheme="minorEastAsia"/>
              </w:rPr>
            </w:pPr>
            <w:r>
              <w:rPr>
                <w:rFonts w:cs="Times New Roman" w:eastAsiaTheme="minorEastAsia"/>
                <w:color w:val="000000"/>
              </w:rPr>
              <w:t>上海麦克林生化有限公司</w:t>
            </w:r>
          </w:p>
        </w:tc>
      </w:tr>
      <w:tr w14:paraId="6738F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21E6F7F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干四氢呋喃</w:t>
            </w:r>
          </w:p>
        </w:tc>
        <w:tc>
          <w:tcPr>
            <w:tcW w:w="1314" w:type="pct"/>
            <w:tcBorders>
              <w:tl2br w:val="nil"/>
              <w:tr2bl w:val="nil"/>
            </w:tcBorders>
            <w:vAlign w:val="center"/>
          </w:tcPr>
          <w:p w14:paraId="30DB3339">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M10015911</w:t>
            </w:r>
          </w:p>
        </w:tc>
        <w:tc>
          <w:tcPr>
            <w:tcW w:w="2013" w:type="pct"/>
            <w:tcBorders>
              <w:tl2br w:val="nil"/>
              <w:tr2bl w:val="nil"/>
            </w:tcBorders>
            <w:vAlign w:val="center"/>
          </w:tcPr>
          <w:p w14:paraId="06AEDB15">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62273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74FE51EC">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盐酸羟胺</w:t>
            </w:r>
          </w:p>
        </w:tc>
        <w:tc>
          <w:tcPr>
            <w:tcW w:w="1314" w:type="pct"/>
            <w:tcBorders>
              <w:tl2br w:val="nil"/>
              <w:tr2bl w:val="nil"/>
            </w:tcBorders>
            <w:vAlign w:val="center"/>
          </w:tcPr>
          <w:p w14:paraId="36F5ABE8">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23100910004</w:t>
            </w:r>
          </w:p>
        </w:tc>
        <w:tc>
          <w:tcPr>
            <w:tcW w:w="2013" w:type="pct"/>
            <w:tcBorders>
              <w:tl2br w:val="nil"/>
              <w:tr2bl w:val="nil"/>
            </w:tcBorders>
            <w:vAlign w:val="center"/>
          </w:tcPr>
          <w:p w14:paraId="71F54826">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0663A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7615845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正己烷</w:t>
            </w:r>
          </w:p>
        </w:tc>
        <w:tc>
          <w:tcPr>
            <w:tcW w:w="1314" w:type="pct"/>
            <w:tcBorders>
              <w:tl2br w:val="nil"/>
              <w:tr2bl w:val="nil"/>
            </w:tcBorders>
            <w:vAlign w:val="center"/>
          </w:tcPr>
          <w:p w14:paraId="15C89013">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3F631355">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7897E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363E4C64">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95%乙醇</w:t>
            </w:r>
          </w:p>
        </w:tc>
        <w:tc>
          <w:tcPr>
            <w:tcW w:w="1314" w:type="pct"/>
            <w:tcBorders>
              <w:tl2br w:val="nil"/>
              <w:tr2bl w:val="nil"/>
            </w:tcBorders>
            <w:vAlign w:val="center"/>
          </w:tcPr>
          <w:p w14:paraId="2B6A694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57FF746E">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15821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45787728">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石油醚</w:t>
            </w:r>
          </w:p>
        </w:tc>
        <w:tc>
          <w:tcPr>
            <w:tcW w:w="1314" w:type="pct"/>
            <w:tcBorders>
              <w:tl2br w:val="nil"/>
              <w:tr2bl w:val="nil"/>
            </w:tcBorders>
            <w:vAlign w:val="center"/>
          </w:tcPr>
          <w:p w14:paraId="32048A6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58B785C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37659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1F2EF243">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正己烷</w:t>
            </w:r>
          </w:p>
        </w:tc>
        <w:tc>
          <w:tcPr>
            <w:tcW w:w="1314" w:type="pct"/>
            <w:tcBorders>
              <w:tl2br w:val="nil"/>
              <w:tr2bl w:val="nil"/>
            </w:tcBorders>
            <w:vAlign w:val="center"/>
          </w:tcPr>
          <w:p w14:paraId="6EDEEE42">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w:t>
            </w:r>
          </w:p>
        </w:tc>
        <w:tc>
          <w:tcPr>
            <w:tcW w:w="2013" w:type="pct"/>
            <w:tcBorders>
              <w:tl2br w:val="nil"/>
              <w:tr2bl w:val="nil"/>
            </w:tcBorders>
            <w:vAlign w:val="center"/>
          </w:tcPr>
          <w:p w14:paraId="352EE17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4940C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BF98ADF">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95%乙醇</w:t>
            </w:r>
          </w:p>
        </w:tc>
        <w:tc>
          <w:tcPr>
            <w:tcW w:w="1314" w:type="pct"/>
            <w:tcBorders>
              <w:tl2br w:val="nil"/>
              <w:tr2bl w:val="nil"/>
            </w:tcBorders>
            <w:vAlign w:val="center"/>
          </w:tcPr>
          <w:p w14:paraId="2C22EC9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20240109</w:t>
            </w:r>
          </w:p>
        </w:tc>
        <w:tc>
          <w:tcPr>
            <w:tcW w:w="2013" w:type="pct"/>
            <w:tcBorders>
              <w:tl2br w:val="nil"/>
              <w:tr2bl w:val="nil"/>
            </w:tcBorders>
            <w:vAlign w:val="center"/>
          </w:tcPr>
          <w:p w14:paraId="3AE0762F">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天津市富宇精细化工有限公司</w:t>
            </w:r>
          </w:p>
        </w:tc>
      </w:tr>
      <w:tr w14:paraId="3243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59E2364">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邻氟苯胺</w:t>
            </w:r>
          </w:p>
        </w:tc>
        <w:tc>
          <w:tcPr>
            <w:tcW w:w="1314" w:type="pct"/>
            <w:tcBorders>
              <w:tl2br w:val="nil"/>
              <w:tr2bl w:val="nil"/>
            </w:tcBorders>
            <w:vAlign w:val="center"/>
          </w:tcPr>
          <w:p w14:paraId="0549CD2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C16714652</w:t>
            </w:r>
          </w:p>
        </w:tc>
        <w:tc>
          <w:tcPr>
            <w:tcW w:w="2013" w:type="pct"/>
            <w:tcBorders>
              <w:tl2br w:val="nil"/>
              <w:tr2bl w:val="nil"/>
            </w:tcBorders>
            <w:vAlign w:val="center"/>
          </w:tcPr>
          <w:p w14:paraId="669D2AD8">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00451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F20AB14">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间氟苯胺</w:t>
            </w:r>
          </w:p>
        </w:tc>
        <w:tc>
          <w:tcPr>
            <w:tcW w:w="1314" w:type="pct"/>
            <w:tcBorders>
              <w:tl2br w:val="nil"/>
              <w:tr2bl w:val="nil"/>
            </w:tcBorders>
            <w:vAlign w:val="center"/>
          </w:tcPr>
          <w:p w14:paraId="3A6C8A8D">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C18409367</w:t>
            </w:r>
          </w:p>
        </w:tc>
        <w:tc>
          <w:tcPr>
            <w:tcW w:w="2013" w:type="pct"/>
            <w:tcBorders>
              <w:tl2br w:val="nil"/>
              <w:tr2bl w:val="nil"/>
            </w:tcBorders>
            <w:vAlign w:val="center"/>
          </w:tcPr>
          <w:p w14:paraId="270FD02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700A5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4AFEACE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对氟苯胺</w:t>
            </w:r>
          </w:p>
        </w:tc>
        <w:tc>
          <w:tcPr>
            <w:tcW w:w="1314" w:type="pct"/>
            <w:tcBorders>
              <w:tl2br w:val="nil"/>
              <w:tr2bl w:val="nil"/>
            </w:tcBorders>
            <w:vAlign w:val="center"/>
          </w:tcPr>
          <w:p w14:paraId="17DC5D8E">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C16026194</w:t>
            </w:r>
          </w:p>
        </w:tc>
        <w:tc>
          <w:tcPr>
            <w:tcW w:w="2013" w:type="pct"/>
            <w:tcBorders>
              <w:tl2br w:val="nil"/>
              <w:tr2bl w:val="nil"/>
            </w:tcBorders>
            <w:vAlign w:val="center"/>
          </w:tcPr>
          <w:p w14:paraId="3B7ED49F">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0AA26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5F1123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邻甲氧基苯胺</w:t>
            </w:r>
          </w:p>
        </w:tc>
        <w:tc>
          <w:tcPr>
            <w:tcW w:w="1314" w:type="pct"/>
            <w:tcBorders>
              <w:tl2br w:val="nil"/>
              <w:tr2bl w:val="nil"/>
            </w:tcBorders>
            <w:vAlign w:val="center"/>
          </w:tcPr>
          <w:p w14:paraId="1BBDB2A2">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M10097338</w:t>
            </w:r>
          </w:p>
        </w:tc>
        <w:tc>
          <w:tcPr>
            <w:tcW w:w="2013" w:type="pct"/>
            <w:tcBorders>
              <w:tl2br w:val="nil"/>
              <w:tr2bl w:val="nil"/>
            </w:tcBorders>
            <w:vAlign w:val="center"/>
          </w:tcPr>
          <w:p w14:paraId="2305930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7F0B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0006EDF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间甲氧基苯胺</w:t>
            </w:r>
          </w:p>
        </w:tc>
        <w:tc>
          <w:tcPr>
            <w:tcW w:w="1314" w:type="pct"/>
            <w:tcBorders>
              <w:tl2br w:val="nil"/>
              <w:tr2bl w:val="nil"/>
            </w:tcBorders>
            <w:vAlign w:val="center"/>
          </w:tcPr>
          <w:p w14:paraId="037A7A80">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C16452975</w:t>
            </w:r>
          </w:p>
        </w:tc>
        <w:tc>
          <w:tcPr>
            <w:tcW w:w="2013" w:type="pct"/>
            <w:tcBorders>
              <w:tl2br w:val="nil"/>
              <w:tr2bl w:val="nil"/>
            </w:tcBorders>
            <w:vAlign w:val="center"/>
          </w:tcPr>
          <w:p w14:paraId="0691DA76">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上海麦克林生化有限公司</w:t>
            </w:r>
          </w:p>
        </w:tc>
      </w:tr>
      <w:tr w14:paraId="1AB11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56FBAD6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对甲氧基苯胺</w:t>
            </w:r>
          </w:p>
        </w:tc>
        <w:tc>
          <w:tcPr>
            <w:tcW w:w="1314" w:type="pct"/>
            <w:tcBorders>
              <w:tl2br w:val="nil"/>
              <w:tr2bl w:val="nil"/>
            </w:tcBorders>
            <w:vAlign w:val="center"/>
          </w:tcPr>
          <w:p w14:paraId="1A5AD62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23051810020</w:t>
            </w:r>
          </w:p>
        </w:tc>
        <w:tc>
          <w:tcPr>
            <w:tcW w:w="2013" w:type="pct"/>
            <w:tcBorders>
              <w:tl2br w:val="nil"/>
              <w:tr2bl w:val="nil"/>
            </w:tcBorders>
            <w:vAlign w:val="center"/>
          </w:tcPr>
          <w:p w14:paraId="27AF7CA3">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4BCC7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6E61C1D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邻甲基苯胺</w:t>
            </w:r>
          </w:p>
        </w:tc>
        <w:tc>
          <w:tcPr>
            <w:tcW w:w="1314" w:type="pct"/>
            <w:tcBorders>
              <w:tl2br w:val="nil"/>
              <w:tr2bl w:val="nil"/>
            </w:tcBorders>
            <w:vAlign w:val="center"/>
          </w:tcPr>
          <w:p w14:paraId="74D3FAA9">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230630100019</w:t>
            </w:r>
          </w:p>
        </w:tc>
        <w:tc>
          <w:tcPr>
            <w:tcW w:w="2013" w:type="pct"/>
            <w:tcBorders>
              <w:tl2br w:val="nil"/>
              <w:tr2bl w:val="nil"/>
            </w:tcBorders>
            <w:vAlign w:val="center"/>
          </w:tcPr>
          <w:p w14:paraId="640AFF65">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47CCD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63242467">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间甲基苯胺</w:t>
            </w:r>
          </w:p>
        </w:tc>
        <w:tc>
          <w:tcPr>
            <w:tcW w:w="1314" w:type="pct"/>
            <w:tcBorders>
              <w:tl2br w:val="nil"/>
              <w:tr2bl w:val="nil"/>
            </w:tcBorders>
            <w:vAlign w:val="center"/>
          </w:tcPr>
          <w:p w14:paraId="0AA4C21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221109100068</w:t>
            </w:r>
          </w:p>
        </w:tc>
        <w:tc>
          <w:tcPr>
            <w:tcW w:w="2013" w:type="pct"/>
            <w:tcBorders>
              <w:tl2br w:val="nil"/>
              <w:tr2bl w:val="nil"/>
            </w:tcBorders>
            <w:vAlign w:val="center"/>
          </w:tcPr>
          <w:p w14:paraId="6739572B">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470DF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l2br w:val="nil"/>
              <w:tr2bl w:val="nil"/>
            </w:tcBorders>
            <w:vAlign w:val="center"/>
          </w:tcPr>
          <w:p w14:paraId="1AEDBABB">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乙腈</w:t>
            </w:r>
          </w:p>
        </w:tc>
        <w:tc>
          <w:tcPr>
            <w:tcW w:w="1314" w:type="pct"/>
            <w:tcBorders>
              <w:tl2br w:val="nil"/>
              <w:tr2bl w:val="nil"/>
            </w:tcBorders>
            <w:vAlign w:val="center"/>
          </w:tcPr>
          <w:p w14:paraId="2309C52A">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M10027380</w:t>
            </w:r>
          </w:p>
        </w:tc>
        <w:tc>
          <w:tcPr>
            <w:tcW w:w="2013" w:type="pct"/>
            <w:tcBorders>
              <w:tl2br w:val="nil"/>
              <w:tr2bl w:val="nil"/>
            </w:tcBorders>
            <w:vAlign w:val="center"/>
          </w:tcPr>
          <w:p w14:paraId="21AFA3A1">
            <w:pPr>
              <w:adjustRightInd w:val="0"/>
              <w:snapToGrid w:val="0"/>
              <w:spacing w:line="480" w:lineRule="auto"/>
              <w:ind w:firstLine="0" w:firstLineChars="0"/>
              <w:jc w:val="center"/>
              <w:rPr>
                <w:rFonts w:cs="Times New Roman" w:eastAsiaTheme="minorEastAsia"/>
                <w:color w:val="000000"/>
              </w:rPr>
            </w:pPr>
            <w:r>
              <w:rPr>
                <w:rFonts w:cs="Times New Roman" w:eastAsiaTheme="minorEastAsia"/>
              </w:rPr>
              <w:t>上海迈瑞尔生化科技有限公司</w:t>
            </w:r>
          </w:p>
        </w:tc>
      </w:tr>
      <w:tr w14:paraId="1EB35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bottom w:val="nil"/>
              <w:tl2br w:val="nil"/>
              <w:tr2bl w:val="nil"/>
            </w:tcBorders>
            <w:vAlign w:val="center"/>
          </w:tcPr>
          <w:p w14:paraId="31426C1D">
            <w:pPr>
              <w:adjustRightInd w:val="0"/>
              <w:snapToGrid w:val="0"/>
              <w:spacing w:line="480" w:lineRule="auto"/>
              <w:ind w:firstLine="0" w:firstLineChars="0"/>
              <w:jc w:val="center"/>
              <w:rPr>
                <w:rFonts w:cs="Times New Roman" w:eastAsiaTheme="minorEastAsia"/>
              </w:rPr>
            </w:pPr>
            <w:r>
              <w:rPr>
                <w:rFonts w:cs="Times New Roman" w:eastAsiaTheme="minorEastAsia"/>
              </w:rPr>
              <w:t>乙酸乙酯</w:t>
            </w:r>
          </w:p>
        </w:tc>
        <w:tc>
          <w:tcPr>
            <w:tcW w:w="1314" w:type="pct"/>
            <w:tcBorders>
              <w:bottom w:val="nil"/>
              <w:tl2br w:val="nil"/>
              <w:tr2bl w:val="nil"/>
            </w:tcBorders>
            <w:vAlign w:val="center"/>
          </w:tcPr>
          <w:p w14:paraId="50FD3AE3">
            <w:pPr>
              <w:adjustRightInd w:val="0"/>
              <w:snapToGrid w:val="0"/>
              <w:spacing w:line="480" w:lineRule="auto"/>
              <w:ind w:firstLine="0" w:firstLineChars="0"/>
              <w:jc w:val="center"/>
              <w:rPr>
                <w:rFonts w:cs="Times New Roman" w:eastAsiaTheme="minorEastAsia"/>
              </w:rPr>
            </w:pPr>
            <w:r>
              <w:rPr>
                <w:rFonts w:cs="Times New Roman" w:eastAsiaTheme="minorEastAsia"/>
              </w:rPr>
              <w:t>20240320</w:t>
            </w:r>
          </w:p>
        </w:tc>
        <w:tc>
          <w:tcPr>
            <w:tcW w:w="2013" w:type="pct"/>
            <w:tcBorders>
              <w:bottom w:val="nil"/>
              <w:tl2br w:val="nil"/>
              <w:tr2bl w:val="nil"/>
            </w:tcBorders>
            <w:vAlign w:val="center"/>
          </w:tcPr>
          <w:p w14:paraId="16997F07">
            <w:pPr>
              <w:adjustRightInd w:val="0"/>
              <w:snapToGrid w:val="0"/>
              <w:spacing w:line="480" w:lineRule="auto"/>
              <w:ind w:firstLine="0" w:firstLineChars="0"/>
              <w:jc w:val="center"/>
              <w:rPr>
                <w:rFonts w:cs="Times New Roman" w:eastAsiaTheme="minorEastAsia"/>
              </w:rPr>
            </w:pPr>
            <w:r>
              <w:rPr>
                <w:rFonts w:cs="Times New Roman" w:eastAsiaTheme="minorEastAsia"/>
              </w:rPr>
              <w:t>天津市富宇精细化工有限公司</w:t>
            </w:r>
          </w:p>
        </w:tc>
      </w:tr>
      <w:tr w14:paraId="1D0D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op w:val="nil"/>
              <w:bottom w:val="single" w:color="auto" w:sz="12" w:space="0"/>
              <w:tl2br w:val="nil"/>
              <w:tr2bl w:val="nil"/>
            </w:tcBorders>
            <w:vAlign w:val="center"/>
          </w:tcPr>
          <w:p w14:paraId="5E5755DA">
            <w:pPr>
              <w:adjustRightInd w:val="0"/>
              <w:snapToGrid w:val="0"/>
              <w:spacing w:line="480" w:lineRule="auto"/>
              <w:ind w:firstLine="0" w:firstLineChars="0"/>
              <w:jc w:val="center"/>
            </w:pPr>
            <w:r>
              <w:br w:type="page"/>
            </w:r>
            <w:r>
              <w:br w:type="page"/>
            </w:r>
            <w:r>
              <w:br w:type="page"/>
            </w:r>
          </w:p>
        </w:tc>
        <w:tc>
          <w:tcPr>
            <w:tcW w:w="1314" w:type="pct"/>
            <w:tcBorders>
              <w:top w:val="nil"/>
              <w:bottom w:val="single" w:color="auto" w:sz="12" w:space="0"/>
              <w:tl2br w:val="nil"/>
              <w:tr2bl w:val="nil"/>
            </w:tcBorders>
            <w:vAlign w:val="center"/>
          </w:tcPr>
          <w:p w14:paraId="5F0CF774">
            <w:pPr>
              <w:adjustRightInd w:val="0"/>
              <w:snapToGrid w:val="0"/>
              <w:spacing w:line="480" w:lineRule="auto"/>
              <w:ind w:firstLine="0" w:firstLineChars="0"/>
              <w:jc w:val="center"/>
              <w:rPr>
                <w:rFonts w:cs="Times New Roman" w:eastAsiaTheme="minorEastAsia"/>
              </w:rPr>
            </w:pPr>
            <w:r>
              <w:rPr>
                <w:rFonts w:hint="eastAsia" w:ascii="Times New Roman" w:hAnsi="Times New Roman" w:eastAsia="黑体" w:cs="Times New Roman"/>
                <w:b/>
                <w:bCs/>
                <w:sz w:val="21"/>
              </w:rPr>
              <w:t>续表2.2</w:t>
            </w:r>
            <w:r>
              <w:rPr>
                <w:rFonts w:hint="eastAsia" w:ascii="Times New Roman" w:hAnsi="Times New Roman" w:eastAsia="黑体" w:cs="Times New Roman"/>
                <w:sz w:val="21"/>
              </w:rPr>
              <w:t xml:space="preserve"> </w:t>
            </w:r>
            <w:r>
              <w:rPr>
                <w:rFonts w:ascii="Times New Roman" w:hAnsi="Times New Roman" w:eastAsia="黑体" w:cs="Times New Roman"/>
                <w:sz w:val="21"/>
              </w:rPr>
              <w:t>材料试剂</w:t>
            </w:r>
          </w:p>
        </w:tc>
        <w:tc>
          <w:tcPr>
            <w:tcW w:w="2013" w:type="pct"/>
            <w:tcBorders>
              <w:top w:val="nil"/>
              <w:bottom w:val="single" w:color="auto" w:sz="12" w:space="0"/>
              <w:tl2br w:val="nil"/>
              <w:tr2bl w:val="nil"/>
            </w:tcBorders>
            <w:vAlign w:val="center"/>
          </w:tcPr>
          <w:p w14:paraId="76DC89AC">
            <w:pPr>
              <w:adjustRightInd w:val="0"/>
              <w:snapToGrid w:val="0"/>
              <w:spacing w:line="480" w:lineRule="auto"/>
              <w:ind w:firstLine="0" w:firstLineChars="0"/>
              <w:jc w:val="center"/>
            </w:pPr>
          </w:p>
        </w:tc>
      </w:tr>
      <w:tr w14:paraId="5351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single" w:color="auto" w:sz="12" w:space="0"/>
              <w:left w:val="nil"/>
              <w:bottom w:val="single" w:color="auto" w:sz="4" w:space="0"/>
              <w:tl2br w:val="nil"/>
              <w:tr2bl w:val="nil"/>
            </w:tcBorders>
            <w:vAlign w:val="center"/>
          </w:tcPr>
          <w:p w14:paraId="6517CE3E">
            <w:pPr>
              <w:adjustRightInd w:val="0"/>
              <w:snapToGrid w:val="0"/>
              <w:spacing w:line="480" w:lineRule="auto"/>
              <w:ind w:firstLine="0" w:firstLineChars="0"/>
              <w:jc w:val="center"/>
            </w:pPr>
            <w:r>
              <w:rPr>
                <w:rFonts w:cs="Times New Roman" w:eastAsiaTheme="minorEastAsia"/>
              </w:rPr>
              <w:t>试剂名称</w:t>
            </w:r>
          </w:p>
        </w:tc>
        <w:tc>
          <w:tcPr>
            <w:tcW w:w="2240" w:type="dxa"/>
            <w:tcBorders>
              <w:top w:val="single" w:color="auto" w:sz="12" w:space="0"/>
              <w:bottom w:val="single" w:color="auto" w:sz="4" w:space="0"/>
              <w:tl2br w:val="nil"/>
              <w:tr2bl w:val="nil"/>
            </w:tcBorders>
            <w:vAlign w:val="center"/>
          </w:tcPr>
          <w:p w14:paraId="2507D231">
            <w:pPr>
              <w:adjustRightInd w:val="0"/>
              <w:snapToGrid w:val="0"/>
              <w:spacing w:line="480" w:lineRule="auto"/>
              <w:ind w:firstLine="0" w:firstLineChars="0"/>
              <w:jc w:val="center"/>
              <w:rPr>
                <w:rFonts w:hint="eastAsia" w:ascii="Times New Roman" w:hAnsi="Times New Roman" w:eastAsia="黑体" w:cs="Times New Roman"/>
                <w:b/>
                <w:bCs/>
                <w:sz w:val="21"/>
              </w:rPr>
            </w:pPr>
            <w:r>
              <w:rPr>
                <w:rFonts w:cs="Times New Roman" w:eastAsiaTheme="minorEastAsia"/>
              </w:rPr>
              <w:t>批号</w:t>
            </w:r>
          </w:p>
        </w:tc>
        <w:tc>
          <w:tcPr>
            <w:tcW w:w="3431" w:type="dxa"/>
            <w:tcBorders>
              <w:top w:val="single" w:color="auto" w:sz="12" w:space="0"/>
              <w:bottom w:val="single" w:color="auto" w:sz="4" w:space="0"/>
              <w:right w:val="nil"/>
              <w:tl2br w:val="nil"/>
              <w:tr2bl w:val="nil"/>
            </w:tcBorders>
            <w:vAlign w:val="center"/>
          </w:tcPr>
          <w:p w14:paraId="3358A814">
            <w:pPr>
              <w:adjustRightInd w:val="0"/>
              <w:snapToGrid w:val="0"/>
              <w:spacing w:line="480" w:lineRule="auto"/>
              <w:ind w:firstLine="0" w:firstLineChars="0"/>
              <w:jc w:val="center"/>
            </w:pPr>
            <w:r>
              <w:rPr>
                <w:rFonts w:cs="Times New Roman" w:eastAsiaTheme="minorEastAsia"/>
              </w:rPr>
              <w:t>厂家</w:t>
            </w:r>
          </w:p>
        </w:tc>
      </w:tr>
      <w:tr w14:paraId="0638C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top w:val="single" w:color="auto" w:sz="4" w:space="0"/>
              <w:tl2br w:val="nil"/>
              <w:tr2bl w:val="nil"/>
            </w:tcBorders>
            <w:vAlign w:val="center"/>
          </w:tcPr>
          <w:p w14:paraId="2B100A6B">
            <w:pPr>
              <w:adjustRightInd w:val="0"/>
              <w:snapToGrid w:val="0"/>
              <w:spacing w:line="480" w:lineRule="auto"/>
              <w:ind w:firstLine="0" w:firstLineChars="0"/>
              <w:jc w:val="center"/>
              <w:rPr>
                <w:rFonts w:cs="Times New Roman" w:eastAsiaTheme="minorEastAsia"/>
              </w:rPr>
            </w:pPr>
            <w:r>
              <w:rPr>
                <w:rFonts w:cs="Times New Roman" w:eastAsiaTheme="minorEastAsia"/>
              </w:rPr>
              <w:t>对甲基苯胺</w:t>
            </w:r>
          </w:p>
        </w:tc>
        <w:tc>
          <w:tcPr>
            <w:tcW w:w="1314" w:type="pct"/>
            <w:tcBorders>
              <w:top w:val="single" w:color="auto" w:sz="4" w:space="0"/>
              <w:tl2br w:val="nil"/>
              <w:tr2bl w:val="nil"/>
            </w:tcBorders>
            <w:vAlign w:val="center"/>
          </w:tcPr>
          <w:p w14:paraId="78E0DB37">
            <w:pPr>
              <w:adjustRightInd w:val="0"/>
              <w:snapToGrid w:val="0"/>
              <w:spacing w:line="480" w:lineRule="auto"/>
              <w:ind w:firstLine="0" w:firstLineChars="0"/>
              <w:jc w:val="center"/>
              <w:rPr>
                <w:rFonts w:cs="Times New Roman" w:eastAsiaTheme="minorEastAsia"/>
              </w:rPr>
            </w:pPr>
            <w:r>
              <w:rPr>
                <w:rFonts w:cs="Times New Roman" w:eastAsiaTheme="minorEastAsia"/>
              </w:rPr>
              <w:t>C17616190</w:t>
            </w:r>
          </w:p>
        </w:tc>
        <w:tc>
          <w:tcPr>
            <w:tcW w:w="2013" w:type="pct"/>
            <w:tcBorders>
              <w:top w:val="single" w:color="auto" w:sz="4" w:space="0"/>
              <w:tl2br w:val="nil"/>
              <w:tr2bl w:val="nil"/>
            </w:tcBorders>
            <w:vAlign w:val="center"/>
          </w:tcPr>
          <w:p w14:paraId="32C5BA09">
            <w:pPr>
              <w:adjustRightInd w:val="0"/>
              <w:snapToGrid w:val="0"/>
              <w:spacing w:line="480" w:lineRule="auto"/>
              <w:ind w:firstLine="0" w:firstLineChars="0"/>
              <w:jc w:val="center"/>
              <w:rPr>
                <w:rFonts w:cs="Times New Roman" w:eastAsiaTheme="minorEastAsia"/>
              </w:rPr>
            </w:pPr>
            <w:r>
              <w:rPr>
                <w:rFonts w:cs="Times New Roman" w:eastAsiaTheme="minorEastAsia"/>
              </w:rPr>
              <w:t>上海麦克林生化有限公司</w:t>
            </w:r>
          </w:p>
        </w:tc>
      </w:tr>
      <w:tr w14:paraId="0DDFF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3" w:type="pct"/>
            <w:tcBorders>
              <w:bottom w:val="single" w:color="auto" w:sz="12" w:space="0"/>
              <w:tl2br w:val="nil"/>
              <w:tr2bl w:val="nil"/>
            </w:tcBorders>
            <w:vAlign w:val="center"/>
          </w:tcPr>
          <w:p w14:paraId="37079BD5">
            <w:pPr>
              <w:adjustRightInd w:val="0"/>
              <w:snapToGrid w:val="0"/>
              <w:spacing w:line="480" w:lineRule="auto"/>
              <w:ind w:firstLine="0" w:firstLineChars="0"/>
              <w:jc w:val="center"/>
              <w:rPr>
                <w:rFonts w:cs="Times New Roman" w:eastAsiaTheme="minorEastAsia"/>
              </w:rPr>
            </w:pPr>
            <w:r>
              <w:rPr>
                <w:rFonts w:cs="Times New Roman" w:eastAsiaTheme="minorEastAsia"/>
              </w:rPr>
              <w:t>丙酰氯</w:t>
            </w:r>
          </w:p>
        </w:tc>
        <w:tc>
          <w:tcPr>
            <w:tcW w:w="1314" w:type="pct"/>
            <w:tcBorders>
              <w:bottom w:val="single" w:color="auto" w:sz="12" w:space="0"/>
              <w:tl2br w:val="nil"/>
              <w:tr2bl w:val="nil"/>
            </w:tcBorders>
            <w:vAlign w:val="center"/>
          </w:tcPr>
          <w:p w14:paraId="3DF38A98">
            <w:pPr>
              <w:adjustRightInd w:val="0"/>
              <w:snapToGrid w:val="0"/>
              <w:spacing w:line="480" w:lineRule="auto"/>
              <w:ind w:firstLine="0" w:firstLineChars="0"/>
              <w:jc w:val="center"/>
              <w:rPr>
                <w:rFonts w:cs="Times New Roman" w:eastAsiaTheme="minorEastAsia"/>
              </w:rPr>
            </w:pPr>
            <w:r>
              <w:rPr>
                <w:rFonts w:cs="Times New Roman" w:eastAsiaTheme="minorEastAsia"/>
              </w:rPr>
              <w:t>——</w:t>
            </w:r>
          </w:p>
        </w:tc>
        <w:tc>
          <w:tcPr>
            <w:tcW w:w="2013" w:type="pct"/>
            <w:tcBorders>
              <w:bottom w:val="single" w:color="auto" w:sz="12" w:space="0"/>
              <w:tl2br w:val="nil"/>
              <w:tr2bl w:val="nil"/>
            </w:tcBorders>
            <w:vAlign w:val="center"/>
          </w:tcPr>
          <w:p w14:paraId="6897DA8A">
            <w:pPr>
              <w:adjustRightInd w:val="0"/>
              <w:snapToGrid w:val="0"/>
              <w:spacing w:line="480" w:lineRule="auto"/>
              <w:ind w:firstLine="0" w:firstLineChars="0"/>
              <w:jc w:val="center"/>
              <w:rPr>
                <w:rFonts w:cs="Times New Roman" w:eastAsiaTheme="minorEastAsia"/>
              </w:rPr>
            </w:pPr>
            <w:r>
              <w:rPr>
                <w:rFonts w:cs="Times New Roman" w:eastAsiaTheme="minorEastAsia"/>
              </w:rPr>
              <w:t>天津市富宇精细化工有限公司</w:t>
            </w:r>
          </w:p>
        </w:tc>
      </w:tr>
    </w:tbl>
    <w:p w14:paraId="66CF4D4F">
      <w:pPr>
        <w:pStyle w:val="2"/>
        <w:numPr>
          <w:ilvl w:val="0"/>
          <w:numId w:val="2"/>
        </w:numPr>
        <w:ind w:firstLineChars="0"/>
      </w:pPr>
      <w:bookmarkStart w:id="27" w:name="_Toc25196"/>
      <w:r>
        <w:t>方法与结果</w:t>
      </w:r>
      <w:bookmarkEnd w:id="27"/>
    </w:p>
    <w:p w14:paraId="72F54CB9">
      <w:pPr>
        <w:spacing w:line="278" w:lineRule="auto"/>
        <w:ind w:firstLine="480"/>
      </w:pPr>
      <w:r>
        <w:t>本论文目标产物整体的合成路线如图2.1所示：</w:t>
      </w:r>
    </w:p>
    <w:p w14:paraId="6315E0BA">
      <w:pPr>
        <w:ind w:firstLine="480"/>
        <w:jc w:val="center"/>
        <w:rPr>
          <w:rFonts w:cs="Times New Roman"/>
        </w:rPr>
      </w:pPr>
      <w:r>
        <w:rPr>
          <w:rFonts w:cs="Times New Roman"/>
        </w:rPr>
        <w:object>
          <v:shape id="_x0000_i1025" o:spt="75" alt="" type="#_x0000_t75" style="height:242pt;width:415pt;" o:ole="t" filled="f" o:preferrelative="t" stroked="f" coordsize="21600,21600">
            <v:path/>
            <v:fill on="f" focussize="0,0"/>
            <v:stroke on="f"/>
            <v:imagedata r:id="rId21" o:title=""/>
            <o:lock v:ext="edit" aspectratio="t"/>
            <w10:wrap type="none"/>
            <w10:anchorlock/>
          </v:shape>
          <o:OLEObject Type="Embed" ProgID="ChemDraw.Document.6.0" ShapeID="_x0000_i1025" DrawAspect="Content" ObjectID="_1468075725" r:id="rId20">
            <o:LockedField>false</o:LockedField>
          </o:OLEObject>
        </w:object>
      </w:r>
    </w:p>
    <w:p w14:paraId="67813908">
      <w:pPr>
        <w:pStyle w:val="7"/>
        <w:bidi w:val="0"/>
      </w:pPr>
      <w:r>
        <w:t xml:space="preserve">图2. </w:t>
      </w:r>
      <w:r>
        <w:fldChar w:fldCharType="begin"/>
      </w:r>
      <w:r>
        <w:instrText xml:space="preserve"> SEQ 图2. \* ARABIC </w:instrText>
      </w:r>
      <w:r>
        <w:fldChar w:fldCharType="separate"/>
      </w:r>
      <w:r>
        <w:t>1</w:t>
      </w:r>
      <w:r>
        <w:fldChar w:fldCharType="end"/>
      </w:r>
      <w:r>
        <w:t>目标产物的合成路线</w:t>
      </w:r>
    </w:p>
    <w:p w14:paraId="230A102B">
      <w:pPr>
        <w:pStyle w:val="5"/>
        <w:numPr>
          <w:ilvl w:val="1"/>
          <w:numId w:val="2"/>
        </w:numPr>
        <w:ind w:firstLineChars="0"/>
        <w:rPr>
          <w:rFonts w:hint="default"/>
        </w:rPr>
      </w:pPr>
      <w:bookmarkStart w:id="28" w:name="_Toc23923"/>
      <w:r>
        <w:t>中间体I的合成</w:t>
      </w:r>
      <w:bookmarkEnd w:id="28"/>
    </w:p>
    <w:p w14:paraId="0D12874E">
      <w:pPr>
        <w:ind w:firstLine="480"/>
      </w:pPr>
      <w:r>
        <w:rPr>
          <w:rFonts w:hint="eastAsia"/>
        </w:rPr>
        <w:t>中间体I的合成路线如图2.2所示。具体实验操作如下：</w:t>
      </w:r>
    </w:p>
    <w:p w14:paraId="4BEC1C67">
      <w:pPr>
        <w:ind w:firstLine="480"/>
        <w:rPr>
          <w:color w:val="000000"/>
          <w:kern w:val="0"/>
        </w:rPr>
      </w:pPr>
      <w:r>
        <w:rPr>
          <w:rFonts w:hint="eastAsia"/>
          <w:kern w:val="0"/>
        </w:rPr>
        <w:t>称取</w:t>
      </w:r>
      <w:r>
        <w:rPr>
          <w:rFonts w:hint="eastAsia"/>
          <w:color w:val="000000"/>
          <w:kern w:val="0"/>
        </w:rPr>
        <w:t>2-甲硫基-4-氯嘧啶-5-甲酸乙酯</w:t>
      </w:r>
      <w:r>
        <w:rPr>
          <w:rFonts w:hint="eastAsia"/>
          <w:kern w:val="0"/>
        </w:rPr>
        <w:t>（24.6 g, 100 mmol）于250 mL单口烧瓶中，并固定于磁力搅拌器，先加入乙腈100 mL，再加入三乙胺（20.81 mL, 150 mmol），最后加入盐酸羟胺（10.5 g, 150 mmol），室温反应。</w:t>
      </w:r>
      <w:r>
        <w:rPr>
          <w:rFonts w:hint="eastAsia"/>
          <w:color w:val="000000"/>
          <w:kern w:val="0"/>
        </w:rPr>
        <w:t>TLC 跟踪至原料 2-甲硫基-4-氯嘧啶-5-甲酸乙酯完全转化，加入去离子水，室温搅拌，逐渐析出固体；随后用玻璃漏斗进行抽滤操作，滤饼用去离子水洗涤 3 次，再用约 5 mL 正己烷 洗涤1次；将滤饼置电热鼓风干燥箱中干燥，最终得白色固体</w:t>
      </w:r>
      <w:r>
        <w:rPr>
          <w:rFonts w:hint="eastAsia"/>
          <w:kern w:val="0"/>
        </w:rPr>
        <w:t>20.3g，产率82.5%。</w:t>
      </w:r>
      <w:r>
        <w:rPr>
          <w:rFonts w:hint="eastAsia"/>
          <w:color w:val="000000"/>
          <w:kern w:val="0"/>
          <w:vertAlign w:val="superscript"/>
        </w:rPr>
        <w:t>1</w:t>
      </w:r>
      <w:r>
        <w:rPr>
          <w:rFonts w:hint="eastAsia"/>
          <w:color w:val="000000"/>
          <w:kern w:val="0"/>
        </w:rPr>
        <w:t>H NMR (600 MHz, DMSO</w:t>
      </w:r>
      <w:r>
        <w:rPr>
          <w:rFonts w:hint="eastAsia"/>
          <w:kern w:val="0"/>
        </w:rPr>
        <w:t>-</w:t>
      </w:r>
      <w:r>
        <w:rPr>
          <w:rFonts w:hint="eastAsia"/>
          <w:i/>
          <w:iCs/>
          <w:kern w:val="0"/>
        </w:rPr>
        <w:t>d</w:t>
      </w:r>
      <w:r>
        <w:rPr>
          <w:rFonts w:hint="eastAsia"/>
          <w:kern w:val="0"/>
          <w:vertAlign w:val="subscript"/>
        </w:rPr>
        <w:t>6</w:t>
      </w:r>
      <w:r>
        <w:rPr>
          <w:rFonts w:hint="eastAsia"/>
          <w:color w:val="000000"/>
          <w:kern w:val="0"/>
        </w:rPr>
        <w:t xml:space="preserve">) δ 10.26 (s, 1H), 9.44 (s, 1H), 8.53 (s, 1H), 4.27 (q, </w:t>
      </w:r>
      <w:r>
        <w:rPr>
          <w:rFonts w:hint="eastAsia"/>
          <w:i/>
          <w:iCs/>
          <w:color w:val="000000"/>
          <w:kern w:val="0"/>
        </w:rPr>
        <w:t>J</w:t>
      </w:r>
      <w:r>
        <w:rPr>
          <w:rFonts w:hint="eastAsia"/>
          <w:color w:val="000000"/>
          <w:kern w:val="0"/>
        </w:rPr>
        <w:t xml:space="preserve"> = 7.1 Hz, 2H), 2.51 (s, 3H), 1.29 (t, </w:t>
      </w:r>
      <w:r>
        <w:rPr>
          <w:rFonts w:hint="eastAsia"/>
          <w:i/>
          <w:iCs/>
          <w:color w:val="000000"/>
          <w:kern w:val="0"/>
        </w:rPr>
        <w:t>J</w:t>
      </w:r>
      <w:r>
        <w:rPr>
          <w:rFonts w:hint="eastAsia"/>
          <w:color w:val="000000"/>
          <w:kern w:val="0"/>
        </w:rPr>
        <w:t xml:space="preserve"> = 7.1 Hz, 3H).</w:t>
      </w:r>
      <w:r>
        <w:rPr>
          <w:rFonts w:hint="eastAsia"/>
          <w:color w:val="000000"/>
          <w:kern w:val="0"/>
          <w:vertAlign w:val="superscript"/>
        </w:rPr>
        <w:t>13</w:t>
      </w:r>
      <w:r>
        <w:rPr>
          <w:rFonts w:hint="eastAsia"/>
          <w:color w:val="000000"/>
          <w:kern w:val="0"/>
        </w:rPr>
        <w:t>C NMR (151 MHz, DMSO) δ 175.78, 165.49, 159.70, 158.10, 99.80, 61.23, 40.40, 40.26, 40.12, 39.99, 39.85, 39.71, 39.57, 14.54, 14.05.</w:t>
      </w:r>
    </w:p>
    <w:p w14:paraId="350F056A">
      <w:pPr>
        <w:ind w:firstLine="480"/>
        <w:rPr>
          <w:rFonts w:hint="eastAsia" w:ascii="宋体" w:hAnsi="宋体" w:cs="宋体"/>
        </w:rPr>
      </w:pPr>
    </w:p>
    <w:p w14:paraId="0E9936E6">
      <w:pPr>
        <w:ind w:firstLine="720" w:firstLineChars="300"/>
        <w:jc w:val="center"/>
        <w:rPr>
          <w:rFonts w:hint="eastAsia" w:ascii="宋体" w:hAnsi="宋体" w:cs="宋体"/>
        </w:rPr>
      </w:pPr>
      <w:r>
        <w:rPr>
          <w:rFonts w:hint="eastAsia" w:ascii="宋体" w:hAnsi="宋体" w:cs="宋体"/>
        </w:rPr>
        <w:object>
          <v:shape id="_x0000_i1026" o:spt="75" alt="" type="#_x0000_t75" style="height:89.5pt;width:373pt;" o:ole="t" filled="f" o:preferrelative="t" stroked="f" coordsize="21600,21600">
            <v:path/>
            <v:fill on="f" focussize="0,0"/>
            <v:stroke on="f"/>
            <v:imagedata r:id="rId23" o:title=""/>
            <o:lock v:ext="edit" aspectratio="t"/>
            <w10:wrap type="none"/>
            <w10:anchorlock/>
          </v:shape>
          <o:OLEObject Type="Embed" ProgID="ChemDraw.Document.6.0" ShapeID="_x0000_i1026" DrawAspect="Content" ObjectID="_1468075726" r:id="rId22">
            <o:LockedField>false</o:LockedField>
          </o:OLEObject>
        </w:object>
      </w:r>
    </w:p>
    <w:p w14:paraId="5BAFDBD9">
      <w:pPr>
        <w:pStyle w:val="7"/>
        <w:bidi w:val="0"/>
        <w:rPr>
          <w:rFonts w:hint="eastAsia"/>
        </w:rPr>
      </w:pPr>
      <w:r>
        <w:t xml:space="preserve">图2. </w:t>
      </w:r>
      <w:r>
        <w:fldChar w:fldCharType="begin"/>
      </w:r>
      <w:r>
        <w:instrText xml:space="preserve"> SEQ 图2. \* ARABIC </w:instrText>
      </w:r>
      <w:r>
        <w:fldChar w:fldCharType="separate"/>
      </w:r>
      <w:r>
        <w:t>2</w:t>
      </w:r>
      <w:r>
        <w:fldChar w:fldCharType="end"/>
      </w:r>
      <w:r>
        <w:t>中间体Ⅰ的合成路线</w:t>
      </w:r>
    </w:p>
    <w:p w14:paraId="2F9AF512">
      <w:pPr>
        <w:pStyle w:val="5"/>
        <w:numPr>
          <w:ilvl w:val="1"/>
          <w:numId w:val="2"/>
        </w:numPr>
        <w:ind w:firstLineChars="0"/>
        <w:rPr>
          <w:rFonts w:hint="default"/>
        </w:rPr>
      </w:pPr>
      <w:bookmarkStart w:id="29" w:name="_Toc8493"/>
      <w:r>
        <w:t>中间体Ⅱ的合成</w:t>
      </w:r>
      <w:bookmarkEnd w:id="29"/>
    </w:p>
    <w:p w14:paraId="13DD4018">
      <w:pPr>
        <w:adjustRightInd w:val="0"/>
        <w:snapToGrid w:val="0"/>
        <w:ind w:firstLine="480"/>
      </w:pPr>
      <w:r>
        <w:rPr>
          <w:rFonts w:hint="eastAsia"/>
        </w:rPr>
        <w:t>中间体Ⅱ的合成路线如图2.3所示。具体实验操作如下：</w:t>
      </w:r>
    </w:p>
    <w:p w14:paraId="2F8FD0E7">
      <w:pPr>
        <w:adjustRightInd w:val="0"/>
        <w:snapToGrid w:val="0"/>
        <w:ind w:firstLine="480"/>
      </w:pPr>
      <w:r>
        <w:rPr>
          <w:rFonts w:hint="eastAsia"/>
          <w:kern w:val="0"/>
        </w:rPr>
        <w:t>用天平称取关键中间体Ⅰ（0.688 g, 3 mmol），于 50 mL 单口烧瓶中，加入3mL95%乙醇作为溶剂，随后加入浓盐酸（6μL, 0.2 mmol），最后加入间氟苯胺（577μL, 6 mmol），于集热式恒温加热磁力搅拌器（95℃）回流反应。约5h后，TLC 跟踪至原料，暨中间体Ⅰ基本完全转化，将反应液冷却至室温，析出固体；用玻璃漏斗进行抽滤操作，滤饼用95%乙醇洗涤 3 次，最后将滤饼置于电热鼓风干燥箱中干燥。最终得白色固体0.579 g，产率 84.1%。</w:t>
      </w:r>
    </w:p>
    <w:p w14:paraId="7CED2F51">
      <w:pPr>
        <w:ind w:firstLine="720" w:firstLineChars="300"/>
        <w:jc w:val="center"/>
        <w:rPr>
          <w:rFonts w:hint="eastAsia" w:ascii="宋体" w:hAnsi="宋体" w:cs="宋体"/>
        </w:rPr>
      </w:pPr>
      <w:r>
        <w:rPr>
          <w:rFonts w:hint="eastAsia" w:ascii="宋体" w:hAnsi="宋体" w:cs="宋体"/>
        </w:rPr>
        <w:object>
          <v:shape id="_x0000_i1027" o:spt="75" alt="" type="#_x0000_t75" style="height:107.5pt;width:415pt;" o:ole="t" filled="f" o:preferrelative="t" stroked="f" coordsize="21600,21600">
            <v:path/>
            <v:fill on="f" focussize="0,0"/>
            <v:stroke on="f"/>
            <v:imagedata r:id="rId25" o:title=""/>
            <o:lock v:ext="edit" aspectratio="t"/>
            <w10:wrap type="none"/>
            <w10:anchorlock/>
          </v:shape>
          <o:OLEObject Type="Embed" ProgID="ChemDraw.Document.6.0" ShapeID="_x0000_i1027" DrawAspect="Content" ObjectID="_1468075727" r:id="rId24">
            <o:LockedField>false</o:LockedField>
          </o:OLEObject>
        </w:object>
      </w:r>
    </w:p>
    <w:p w14:paraId="4BD6FEF2">
      <w:pPr>
        <w:pStyle w:val="7"/>
        <w:bidi w:val="0"/>
        <w:rPr>
          <w:rFonts w:hint="eastAsia"/>
        </w:rPr>
      </w:pPr>
      <w:r>
        <w:t xml:space="preserve">图2. </w:t>
      </w:r>
      <w:r>
        <w:fldChar w:fldCharType="begin"/>
      </w:r>
      <w:r>
        <w:instrText xml:space="preserve"> SEQ 图2. \* ARABIC </w:instrText>
      </w:r>
      <w:r>
        <w:fldChar w:fldCharType="separate"/>
      </w:r>
      <w:r>
        <w:t>3</w:t>
      </w:r>
      <w:r>
        <w:fldChar w:fldCharType="end"/>
      </w:r>
      <w:r>
        <w:t>中间体Ⅱ的合成路线</w:t>
      </w:r>
    </w:p>
    <w:p w14:paraId="5BF64003">
      <w:pPr>
        <w:ind w:firstLine="480"/>
      </w:pPr>
      <w:r>
        <w:rPr>
          <w:rFonts w:hint="eastAsia"/>
        </w:rPr>
        <w:t>同理，利用上述合成中间体Ⅱ类似的条件，合成得到其它中间体。如下所示：</w:t>
      </w:r>
    </w:p>
    <w:p w14:paraId="40296CC6">
      <w:pPr>
        <w:ind w:firstLine="480"/>
        <w:rPr>
          <w:rFonts w:hint="eastAsia" w:ascii="宋体" w:hAnsi="宋体" w:cs="宋体"/>
        </w:rPr>
      </w:pPr>
      <w:r>
        <w:rPr>
          <w:rFonts w:hint="eastAsia" w:ascii="宋体" w:hAnsi="宋体" w:cs="宋体"/>
        </w:rPr>
        <w:object>
          <v:shape id="_x0000_i1037" o:spt="75" type="#_x0000_t75" style="height:105pt;width:119pt;" o:ole="t" filled="f" o:preferrelative="t" stroked="f" coordsize="21600,21600">
            <v:path/>
            <v:fill on="f" focussize="0,0"/>
            <v:stroke on="f"/>
            <v:imagedata r:id="rId27" o:title=""/>
            <o:lock v:ext="edit" aspectratio="t"/>
            <w10:wrap type="none"/>
            <w10:anchorlock/>
          </v:shape>
          <o:OLEObject Type="Embed" ProgID="ChemDraw.Document.6.0" ShapeID="_x0000_i1037" DrawAspect="Content" ObjectID="_1468075728" r:id="rId26">
            <o:LockedField>false</o:LockedField>
          </o:OLEObject>
        </w:object>
      </w:r>
      <w:r>
        <w:rPr>
          <w:rFonts w:cs="Times New Roman"/>
          <w:color w:val="000000"/>
        </w:rPr>
        <w:t>中间体Ⅱ-2，</w:t>
      </w:r>
      <w:r>
        <w:rPr>
          <w:rFonts w:cs="Times New Roman"/>
        </w:rPr>
        <w:t>白色</w:t>
      </w:r>
      <w:r>
        <w:rPr>
          <w:rFonts w:cs="Times New Roman"/>
          <w:color w:val="000000"/>
        </w:rPr>
        <w:t>固体0.604</w:t>
      </w:r>
      <w:r>
        <w:rPr>
          <w:rFonts w:hint="eastAsia" w:cs="Times New Roman"/>
          <w:color w:val="000000"/>
          <w:lang w:val="en-US" w:eastAsia="zh-CN"/>
        </w:rPr>
        <w:t xml:space="preserve"> </w:t>
      </w:r>
      <w:r>
        <w:rPr>
          <w:rFonts w:cs="Times New Roman"/>
          <w:color w:val="000000"/>
        </w:rPr>
        <w:t>g，产率87.7%</w:t>
      </w:r>
      <w:r>
        <w:rPr>
          <w:rFonts w:hint="eastAsia" w:ascii="宋体" w:hAnsi="宋体" w:cs="宋体"/>
          <w:color w:val="000000"/>
        </w:rPr>
        <w:t>。</w:t>
      </w:r>
    </w:p>
    <w:p w14:paraId="38902EE1">
      <w:pPr>
        <w:ind w:firstLineChars="0"/>
        <w:jc w:val="left"/>
        <w:rPr>
          <w:rFonts w:cs="Times New Roman"/>
        </w:rPr>
      </w:pPr>
      <w:r>
        <w:rPr>
          <w:rFonts w:hint="eastAsia" w:ascii="宋体" w:hAnsi="宋体" w:cs="宋体"/>
        </w:rPr>
        <w:object>
          <v:shape id="_x0000_i1038" o:spt="75" type="#_x0000_t75" style="height:113pt;width:104pt;" o:ole="t" filled="f" o:preferrelative="t" stroked="f" coordsize="21600,21600">
            <v:path/>
            <v:fill on="f" focussize="0,0"/>
            <v:stroke on="f" joinstyle="miter"/>
            <v:imagedata r:id="rId29" o:title=""/>
            <o:lock v:ext="edit" aspectratio="t"/>
            <w10:wrap type="none"/>
            <w10:anchorlock/>
          </v:shape>
          <o:OLEObject Type="Embed" ProgID="ChemDraw.Document.6.0" ShapeID="_x0000_i1038" DrawAspect="Content" ObjectID="_1468075729" r:id="rId28">
            <o:LockedField>false</o:LockedField>
          </o:OLEObject>
        </w:object>
      </w:r>
      <w:r>
        <w:rPr>
          <w:rFonts w:hint="eastAsia" w:ascii="宋体" w:hAnsi="宋体" w:cs="宋体"/>
          <w:lang w:val="en-US" w:eastAsia="zh-CN"/>
        </w:rPr>
        <w:t xml:space="preserve">     </w:t>
      </w:r>
      <w:r>
        <w:rPr>
          <w:rFonts w:cs="Times New Roman"/>
          <w:color w:val="000000"/>
        </w:rPr>
        <w:t>中间体Ⅱ-3，</w:t>
      </w:r>
      <w:r>
        <w:rPr>
          <w:rFonts w:cs="Times New Roman"/>
        </w:rPr>
        <w:t>白色</w:t>
      </w:r>
      <w:r>
        <w:rPr>
          <w:rFonts w:cs="Times New Roman"/>
          <w:color w:val="000000"/>
        </w:rPr>
        <w:t>固体0.623</w:t>
      </w:r>
      <w:r>
        <w:rPr>
          <w:rFonts w:hint="eastAsia" w:cs="Times New Roman"/>
          <w:color w:val="000000"/>
          <w:lang w:val="en-US" w:eastAsia="zh-CN"/>
        </w:rPr>
        <w:t xml:space="preserve"> </w:t>
      </w:r>
      <w:r>
        <w:rPr>
          <w:rFonts w:cs="Times New Roman"/>
          <w:color w:val="000000"/>
        </w:rPr>
        <w:t>g，产率90.5%</w:t>
      </w:r>
      <w:r>
        <w:rPr>
          <w:rFonts w:hint="eastAsia" w:ascii="宋体" w:hAnsi="宋体" w:cs="宋体"/>
          <w:color w:val="000000"/>
        </w:rPr>
        <w:t>。</w:t>
      </w:r>
      <w:r>
        <w:rPr>
          <w:rFonts w:hint="eastAsia" w:ascii="宋体" w:hAnsi="宋体" w:cs="宋体"/>
        </w:rPr>
        <w:object>
          <v:shape id="_x0000_i1030" o:spt="75" alt="" type="#_x0000_t75" style="height:102pt;width:129pt;" o:ole="t" filled="f" o:preferrelative="t" stroked="f" coordsize="21600,21600">
            <v:path/>
            <v:fill on="f" focussize="0,0"/>
            <v:stroke on="f"/>
            <v:imagedata r:id="rId31" o:title=""/>
            <o:lock v:ext="edit" aspectratio="t"/>
            <w10:wrap type="none"/>
            <w10:anchorlock/>
          </v:shape>
          <o:OLEObject Type="Embed" ProgID="ChemDraw.Document.6.0" ShapeID="_x0000_i1030" DrawAspect="Content" ObjectID="_1468075730" r:id="rId30">
            <o:LockedField>false</o:LockedField>
          </o:OLEObject>
        </w:object>
      </w:r>
      <w:r>
        <w:rPr>
          <w:rFonts w:hint="eastAsia" w:ascii="宋体" w:hAnsi="宋体" w:cs="宋体"/>
          <w:lang w:val="en-US" w:eastAsia="zh-CN"/>
        </w:rPr>
        <w:t xml:space="preserve">   </w:t>
      </w:r>
      <w:r>
        <w:rPr>
          <w:rFonts w:cs="Times New Roman"/>
        </w:rPr>
        <w:t>中间体Ⅱ-4，淡黄色固体0.561</w:t>
      </w:r>
      <w:r>
        <w:rPr>
          <w:rFonts w:hint="eastAsia" w:cs="Times New Roman"/>
          <w:lang w:val="en-US" w:eastAsia="zh-CN"/>
        </w:rPr>
        <w:t xml:space="preserve"> </w:t>
      </w:r>
      <w:r>
        <w:rPr>
          <w:rFonts w:cs="Times New Roman"/>
        </w:rPr>
        <w:t>g，产率81.5%。</w:t>
      </w:r>
    </w:p>
    <w:p w14:paraId="7F7940EB">
      <w:pPr>
        <w:ind w:firstLine="0" w:firstLineChars="0"/>
        <w:jc w:val="left"/>
        <w:rPr>
          <w:rFonts w:cs="Times New Roman"/>
        </w:rPr>
      </w:pPr>
      <w:r>
        <w:rPr>
          <w:rFonts w:hint="eastAsia" w:ascii="宋体" w:hAnsi="宋体" w:cs="宋体"/>
        </w:rPr>
        <w:object>
          <v:shape id="_x0000_i1031" o:spt="75" alt="" type="#_x0000_t75" style="height:103pt;width:129pt;" o:ole="t" filled="f" o:preferrelative="t" stroked="f" coordsize="21600,21600">
            <v:path/>
            <v:fill on="f" focussize="0,0"/>
            <v:stroke on="f"/>
            <v:imagedata r:id="rId33" o:title=""/>
            <o:lock v:ext="edit" aspectratio="t"/>
            <w10:wrap type="none"/>
            <w10:anchorlock/>
          </v:shape>
          <o:OLEObject Type="Embed" ProgID="ChemDraw.Document.6.0" ShapeID="_x0000_i1031" DrawAspect="Content" ObjectID="_1468075731" r:id="rId32">
            <o:LockedField>false</o:LockedField>
          </o:OLEObject>
        </w:object>
      </w:r>
      <w:r>
        <w:rPr>
          <w:rFonts w:hint="eastAsia" w:ascii="宋体" w:hAnsi="宋体" w:cs="宋体"/>
          <w:lang w:val="en-US" w:eastAsia="zh-CN"/>
        </w:rPr>
        <w:t xml:space="preserve">   </w:t>
      </w:r>
      <w:r>
        <w:rPr>
          <w:rFonts w:cs="Times New Roman"/>
        </w:rPr>
        <w:t>中间体Ⅱ-5，淡黄色固体0.593</w:t>
      </w:r>
      <w:r>
        <w:rPr>
          <w:rFonts w:hint="eastAsia" w:cs="Times New Roman"/>
          <w:lang w:val="en-US" w:eastAsia="zh-CN"/>
        </w:rPr>
        <w:t xml:space="preserve"> </w:t>
      </w:r>
      <w:r>
        <w:rPr>
          <w:rFonts w:cs="Times New Roman"/>
        </w:rPr>
        <w:t>g，产率86.1%。</w:t>
      </w:r>
    </w:p>
    <w:p w14:paraId="4F1B8710">
      <w:pPr>
        <w:ind w:firstLine="0" w:firstLineChars="0"/>
        <w:jc w:val="left"/>
        <w:rPr>
          <w:rFonts w:cs="Times New Roman"/>
        </w:rPr>
      </w:pPr>
      <w:r>
        <w:rPr>
          <w:rFonts w:hint="eastAsia" w:ascii="宋体" w:hAnsi="宋体" w:cs="宋体"/>
        </w:rPr>
        <w:object>
          <v:shape id="_x0000_i1032" o:spt="75" alt="" type="#_x0000_t75" style="height:122pt;width:104pt;" o:ole="t" filled="f" o:preferrelative="t" stroked="f" coordsize="21600,21600">
            <v:path/>
            <v:fill on="f" focussize="0,0"/>
            <v:stroke on="f"/>
            <v:imagedata r:id="rId35" o:title=""/>
            <o:lock v:ext="edit" aspectratio="t"/>
            <w10:wrap type="none"/>
            <w10:anchorlock/>
          </v:shape>
          <o:OLEObject Type="Embed" ProgID="ChemDraw.Document.6.0" ShapeID="_x0000_i1032" DrawAspect="Content" ObjectID="_1468075732" r:id="rId34">
            <o:LockedField>false</o:LockedField>
          </o:OLEObject>
        </w:object>
      </w:r>
      <w:r>
        <w:rPr>
          <w:rFonts w:hint="eastAsia" w:ascii="宋体" w:hAnsi="宋体" w:cs="宋体"/>
        </w:rPr>
        <w:t xml:space="preserve">    </w:t>
      </w:r>
      <w:r>
        <w:rPr>
          <w:rFonts w:hint="eastAsia" w:ascii="宋体" w:hAnsi="宋体" w:cs="宋体"/>
          <w:lang w:val="en-US" w:eastAsia="zh-CN"/>
        </w:rPr>
        <w:t xml:space="preserve">   </w:t>
      </w:r>
      <w:r>
        <w:rPr>
          <w:rFonts w:cs="Times New Roman"/>
        </w:rPr>
        <w:t>中间体Ⅱ-6，淡黄色固体0.604</w:t>
      </w:r>
      <w:r>
        <w:rPr>
          <w:rFonts w:hint="eastAsia" w:cs="Times New Roman"/>
          <w:lang w:val="en-US" w:eastAsia="zh-CN"/>
        </w:rPr>
        <w:t xml:space="preserve"> </w:t>
      </w:r>
      <w:r>
        <w:rPr>
          <w:rFonts w:cs="Times New Roman"/>
        </w:rPr>
        <w:t>g，产率87.7%</w:t>
      </w:r>
      <w:r>
        <w:rPr>
          <w:rFonts w:hint="eastAsia" w:ascii="宋体" w:hAnsi="宋体" w:cs="宋体"/>
        </w:rPr>
        <w:t>。</w:t>
      </w:r>
      <w:r>
        <w:rPr>
          <w:rFonts w:hint="eastAsia" w:ascii="宋体" w:hAnsi="宋体" w:cs="宋体"/>
        </w:rPr>
        <w:object>
          <v:shape id="_x0000_i1033" o:spt="75" alt="" type="#_x0000_t75" style="height:104pt;width:116.5pt;" o:ole="t" filled="f" o:preferrelative="t" stroked="f" coordsize="21600,21600">
            <v:path/>
            <v:fill on="f" focussize="0,0"/>
            <v:stroke on="f"/>
            <v:imagedata r:id="rId37" o:title=""/>
            <o:lock v:ext="edit" aspectratio="t"/>
            <w10:wrap type="none"/>
            <w10:anchorlock/>
          </v:shape>
          <o:OLEObject Type="Embed" ProgID="ChemDraw.Document.6.0" ShapeID="_x0000_i1033" DrawAspect="Content" ObjectID="_1468075733" r:id="rId36">
            <o:LockedField>false</o:LockedField>
          </o:OLEObject>
        </w:object>
      </w:r>
      <w:r>
        <w:rPr>
          <w:rFonts w:hint="eastAsia" w:ascii="宋体" w:hAnsi="宋体" w:cs="宋体"/>
        </w:rPr>
        <w:t xml:space="preserve">  </w:t>
      </w:r>
      <w:r>
        <w:rPr>
          <w:rFonts w:cs="Times New Roman"/>
        </w:rPr>
        <w:t>中间体Ⅱ-7，白色固体0.594</w:t>
      </w:r>
      <w:r>
        <w:rPr>
          <w:rFonts w:hint="eastAsia" w:cs="Times New Roman"/>
          <w:lang w:val="en-US" w:eastAsia="zh-CN"/>
        </w:rPr>
        <w:t xml:space="preserve"> </w:t>
      </w:r>
      <w:r>
        <w:rPr>
          <w:rFonts w:cs="Times New Roman"/>
        </w:rPr>
        <w:t>g，产率86.3%。</w:t>
      </w:r>
    </w:p>
    <w:p w14:paraId="25A5579B">
      <w:pPr>
        <w:ind w:firstLine="0" w:firstLineChars="0"/>
        <w:jc w:val="left"/>
        <w:rPr>
          <w:rFonts w:cs="Times New Roman"/>
        </w:rPr>
      </w:pPr>
      <w:r>
        <w:rPr>
          <w:rFonts w:hint="eastAsia" w:ascii="宋体" w:hAnsi="宋体" w:cs="宋体"/>
        </w:rPr>
        <w:object>
          <v:shape id="_x0000_i1034" o:spt="75" alt="" type="#_x0000_t75" style="height:98.5pt;width:116.5pt;" o:ole="t" filled="f" o:preferrelative="t" stroked="f" coordsize="21600,21600">
            <v:path/>
            <v:fill on="f" focussize="0,0"/>
            <v:stroke on="f"/>
            <v:imagedata r:id="rId39" o:title=""/>
            <o:lock v:ext="edit" aspectratio="t"/>
            <w10:wrap type="none"/>
            <w10:anchorlock/>
          </v:shape>
          <o:OLEObject Type="Embed" ProgID="ChemDraw.Document.6.0" ShapeID="_x0000_i1034" DrawAspect="Content" ObjectID="_1468075734" r:id="rId38">
            <o:LockedField>false</o:LockedField>
          </o:OLEObject>
        </w:object>
      </w:r>
      <w:r>
        <w:rPr>
          <w:rFonts w:hint="eastAsia" w:ascii="宋体" w:hAnsi="宋体" w:cs="宋体"/>
        </w:rPr>
        <w:t xml:space="preserve">  </w:t>
      </w:r>
      <w:r>
        <w:rPr>
          <w:rFonts w:cs="Times New Roman"/>
        </w:rPr>
        <w:t>中间体Ⅱ-8，白色固体0.601</w:t>
      </w:r>
      <w:r>
        <w:rPr>
          <w:rFonts w:hint="eastAsia" w:cs="Times New Roman"/>
          <w:lang w:val="en-US" w:eastAsia="zh-CN"/>
        </w:rPr>
        <w:t xml:space="preserve"> </w:t>
      </w:r>
      <w:r>
        <w:rPr>
          <w:rFonts w:cs="Times New Roman"/>
        </w:rPr>
        <w:t>g，产率87.3%。</w:t>
      </w:r>
    </w:p>
    <w:p w14:paraId="361701C6">
      <w:pPr>
        <w:ind w:firstLine="0" w:firstLineChars="0"/>
        <w:jc w:val="left"/>
        <w:rPr>
          <w:rFonts w:cs="Times New Roman"/>
        </w:rPr>
      </w:pPr>
      <w:r>
        <w:rPr>
          <w:rFonts w:hint="eastAsia" w:ascii="宋体" w:hAnsi="宋体" w:cs="宋体"/>
        </w:rPr>
        <w:object>
          <v:shape id="_x0000_i1035" o:spt="75" alt="" type="#_x0000_t75" style="height:111.5pt;width:104pt;" o:ole="t" filled="f" o:preferrelative="t" stroked="f" coordsize="21600,21600">
            <v:path/>
            <v:fill on="f" focussize="0,0"/>
            <v:stroke on="f"/>
            <v:imagedata r:id="rId41" o:title=""/>
            <o:lock v:ext="edit" aspectratio="t"/>
            <w10:wrap type="none"/>
            <w10:anchorlock/>
          </v:shape>
          <o:OLEObject Type="Embed" ProgID="ChemDraw.Document.6.0" ShapeID="_x0000_i1035" DrawAspect="Content" ObjectID="_1468075735" r:id="rId40">
            <o:LockedField>false</o:LockedField>
          </o:OLEObject>
        </w:object>
      </w:r>
      <w:r>
        <w:rPr>
          <w:rFonts w:hint="eastAsia" w:ascii="宋体" w:hAnsi="宋体" w:cs="宋体"/>
        </w:rPr>
        <w:t xml:space="preserve">    </w:t>
      </w:r>
      <w:r>
        <w:rPr>
          <w:rFonts w:cs="Times New Roman"/>
        </w:rPr>
        <w:t>中间体Ⅱ-9，白色固体0.622</w:t>
      </w:r>
      <w:r>
        <w:rPr>
          <w:rFonts w:hint="eastAsia" w:cs="Times New Roman"/>
          <w:lang w:val="en-US" w:eastAsia="zh-CN"/>
        </w:rPr>
        <w:t xml:space="preserve"> </w:t>
      </w:r>
      <w:bookmarkStart w:id="82" w:name="_GoBack"/>
      <w:bookmarkEnd w:id="82"/>
      <w:r>
        <w:rPr>
          <w:rFonts w:cs="Times New Roman"/>
        </w:rPr>
        <w:t>g，产率90.4%。</w:t>
      </w:r>
    </w:p>
    <w:p w14:paraId="68C9C407">
      <w:pPr>
        <w:pStyle w:val="5"/>
        <w:numPr>
          <w:ilvl w:val="1"/>
          <w:numId w:val="2"/>
        </w:numPr>
        <w:ind w:firstLineChars="0"/>
        <w:rPr>
          <w:rFonts w:hint="default"/>
        </w:rPr>
      </w:pPr>
      <w:bookmarkStart w:id="30" w:name="_Toc32580"/>
      <w:r>
        <w:t>目标产物的合成</w:t>
      </w:r>
      <w:bookmarkEnd w:id="30"/>
    </w:p>
    <w:p w14:paraId="4AAB5DFD">
      <w:pPr>
        <w:ind w:firstLine="480"/>
      </w:pPr>
      <w:r>
        <w:rPr>
          <w:rFonts w:hint="eastAsia"/>
        </w:rPr>
        <w:t>目标产物的合成路线如图2.4所示。具体实验操作如下：</w:t>
      </w:r>
    </w:p>
    <w:p w14:paraId="27CF3BF1">
      <w:pPr>
        <w:adjustRightInd w:val="0"/>
        <w:snapToGrid w:val="0"/>
        <w:ind w:firstLine="480"/>
        <w:rPr>
          <w:rFonts w:hint="eastAsia"/>
        </w:rPr>
      </w:pPr>
      <w:r>
        <w:rPr>
          <w:rFonts w:cs="Times New Roman"/>
        </w:rPr>
        <w:t>用电子天平称取中间体Ⅱ</w:t>
      </w:r>
      <w:r>
        <w:rPr>
          <w:rFonts w:cs="Times New Roman"/>
          <w:kern w:val="0"/>
        </w:rPr>
        <w:t>（0.438</w:t>
      </w:r>
      <w:r>
        <w:rPr>
          <w:rFonts w:hint="eastAsia" w:cs="Times New Roman"/>
          <w:kern w:val="0"/>
          <w:lang w:val="en-US" w:eastAsia="zh-CN"/>
        </w:rPr>
        <w:t xml:space="preserve"> </w:t>
      </w:r>
      <w:r>
        <w:rPr>
          <w:rFonts w:cs="Times New Roman"/>
          <w:kern w:val="0"/>
        </w:rPr>
        <w:t>g, 1.5</w:t>
      </w:r>
      <w:r>
        <w:rPr>
          <w:rFonts w:hint="eastAsia" w:cs="Times New Roman"/>
          <w:kern w:val="0"/>
          <w:lang w:val="en-US" w:eastAsia="zh-CN"/>
        </w:rPr>
        <w:t xml:space="preserve"> </w:t>
      </w:r>
      <w:r>
        <w:rPr>
          <w:rFonts w:cs="Times New Roman"/>
          <w:kern w:val="0"/>
        </w:rPr>
        <w:t>mmol）</w:t>
      </w:r>
      <w:r>
        <w:rPr>
          <w:rFonts w:cs="Times New Roman"/>
        </w:rPr>
        <w:t>于 50 mL 单口烧瓶中，加入 3 mL 四氢呋喃作为溶剂，再加入三乙胺（Et</w:t>
      </w:r>
      <w:r>
        <w:rPr>
          <w:rFonts w:cs="Times New Roman"/>
          <w:vertAlign w:val="subscript"/>
        </w:rPr>
        <w:t>3</w:t>
      </w:r>
      <w:r>
        <w:rPr>
          <w:rFonts w:cs="Times New Roman"/>
        </w:rPr>
        <w:t>N）（520</w:t>
      </w:r>
      <w:r>
        <w:rPr>
          <w:rFonts w:hint="eastAsia" w:cs="Times New Roman"/>
          <w:lang w:val="en-US" w:eastAsia="zh-CN"/>
        </w:rPr>
        <w:t xml:space="preserve"> </w:t>
      </w:r>
      <w:r>
        <w:rPr>
          <w:rFonts w:cs="Times New Roman"/>
        </w:rPr>
        <w:t>μL，3.75</w:t>
      </w:r>
      <w:r>
        <w:rPr>
          <w:rFonts w:hint="eastAsia" w:cs="Times New Roman"/>
          <w:lang w:val="en-US" w:eastAsia="zh-CN"/>
        </w:rPr>
        <w:t xml:space="preserve"> </w:t>
      </w:r>
      <w:r>
        <w:rPr>
          <w:rFonts w:cs="Times New Roman"/>
        </w:rPr>
        <w:t>mmol），最后于冰浴条件下加入丙酰氯（143</w:t>
      </w:r>
      <w:r>
        <w:rPr>
          <w:rFonts w:hint="eastAsia" w:cs="Times New Roman"/>
          <w:lang w:val="en-US" w:eastAsia="zh-CN"/>
        </w:rPr>
        <w:t xml:space="preserve"> </w:t>
      </w:r>
      <w:r>
        <w:rPr>
          <w:rFonts w:cs="Times New Roman"/>
        </w:rPr>
        <w:t>μL，1.65 mmol）。TLC 跟踪至中间体Ⅱ完全转化，加入去离子水，冰浴搅拌，逐渐析出固体； 随后用玻璃漏斗进行抽滤操作，滤饼用去离子水洗涤 3 次，再用约 5 mL 正己烷 洗涤1次；将滤饼置电热鼓风干燥箱中干燥，最终得白色固体0.395 g，产率90.1%。</w:t>
      </w:r>
      <w:r>
        <w:rPr>
          <w:rFonts w:cs="Times New Roman"/>
          <w:vertAlign w:val="superscript"/>
        </w:rPr>
        <w:t>1</w:t>
      </w:r>
      <w:r>
        <w:rPr>
          <w:rFonts w:cs="Times New Roman"/>
        </w:rPr>
        <w:t>H NMR (600 MHz, CDCl</w:t>
      </w:r>
      <w:r>
        <w:rPr>
          <w:rFonts w:cs="Times New Roman"/>
          <w:vertAlign w:val="subscript"/>
        </w:rPr>
        <w:t>3</w:t>
      </w:r>
      <w:r>
        <w:rPr>
          <w:rFonts w:cs="Times New Roman"/>
        </w:rPr>
        <w:t>) δ 10.87 (s, 1H), 8.74 (s, 1H), 7.96 (s, 1H), 7.84 (d, J = 11.5 Hz, 1H), 7.24 (q, J = 7.9 Hz, 1H), 7.06 (d, J = 8.1 Hz, 1H), 6.76 (td, J = 8.2, 2.5 Hz, 1H), 4.35 (q, J = 7.1 Hz, 2H), 2.63 (q, J = 7.5 Hz, 2H), 1.38 (t, J = 7.1 Hz, 3H), 1.26 (t, J = 7.6 Hz, 3H).</w:t>
      </w:r>
      <w:r>
        <w:rPr>
          <w:rFonts w:cs="Times New Roman"/>
          <w:vertAlign w:val="superscript"/>
        </w:rPr>
        <w:t>13</w:t>
      </w:r>
      <w:r>
        <w:rPr>
          <w:rFonts w:cs="Times New Roman"/>
        </w:rPr>
        <w:t>C NMR (151 MHz, CDCl</w:t>
      </w:r>
      <w:r>
        <w:rPr>
          <w:rFonts w:cs="Times New Roman"/>
          <w:vertAlign w:val="subscript"/>
        </w:rPr>
        <w:t>3</w:t>
      </w:r>
      <w:r>
        <w:rPr>
          <w:rFonts w:cs="Times New Roman"/>
        </w:rPr>
        <w:t>) δ 172.63, 165.57, 163.86, 162.26, 160.72, 160.43, 140.25, 129.79, 115.11, 109.82, 107.38, 107.20, 61.14, 25.22, 14.28, 8.72.</w:t>
      </w:r>
      <w:r>
        <w:rPr>
          <w:rFonts w:cs="Times New Roman"/>
        </w:rPr>
        <w:cr/>
      </w:r>
      <w:r>
        <w:rPr>
          <w:rFonts w:hint="eastAsia"/>
        </w:rPr>
        <w:object>
          <v:shape id="_x0000_i1036" o:spt="75" alt="" type="#_x0000_t75" style="height:104.5pt;width:415.5pt;" o:ole="t" filled="f" o:preferrelative="t" stroked="f" coordsize="21600,21600">
            <v:path/>
            <v:fill on="f" focussize="0,0"/>
            <v:stroke on="f"/>
            <v:imagedata r:id="rId43" o:title=""/>
            <o:lock v:ext="edit" aspectratio="t"/>
            <w10:wrap type="none"/>
            <w10:anchorlock/>
          </v:shape>
          <o:OLEObject Type="Embed" ProgID="ChemDraw.Document.6.0" ShapeID="_x0000_i1036" DrawAspect="Content" ObjectID="_1468075736" r:id="rId42">
            <o:LockedField>false</o:LockedField>
          </o:OLEObject>
        </w:object>
      </w:r>
    </w:p>
    <w:p w14:paraId="3DD05DB2">
      <w:pPr>
        <w:pStyle w:val="7"/>
        <w:bidi w:val="0"/>
      </w:pPr>
      <w:r>
        <w:t xml:space="preserve">图2. </w:t>
      </w:r>
      <w:r>
        <w:fldChar w:fldCharType="begin"/>
      </w:r>
      <w:r>
        <w:instrText xml:space="preserve"> SEQ 图2. \* ARABIC </w:instrText>
      </w:r>
      <w:r>
        <w:fldChar w:fldCharType="separate"/>
      </w:r>
      <w:r>
        <w:t>4</w:t>
      </w:r>
      <w:r>
        <w:fldChar w:fldCharType="end"/>
      </w:r>
      <w:r>
        <w:t>目标产物的合成路线</w:t>
      </w:r>
    </w:p>
    <w:p w14:paraId="29EFF89D">
      <w:pPr>
        <w:ind w:firstLine="480"/>
      </w:pPr>
      <w:r>
        <w:t>同理，利用上述目标产物1类似的条件，合成得到其它目标产物。如下所示：</w:t>
      </w:r>
    </w:p>
    <w:p w14:paraId="4ADA61C7">
      <w:pPr>
        <w:pStyle w:val="12"/>
        <w:widowControl/>
        <w:spacing w:before="0" w:beforeAutospacing="0" w:after="0" w:afterAutospacing="0"/>
        <w:ind w:firstLine="400"/>
        <w:jc w:val="both"/>
        <w:rPr>
          <w:rFonts w:ascii="Times New Roman" w:hAnsi="Times New Roman" w:eastAsia="宋体" w:cstheme="minorBidi"/>
          <w:kern w:val="2"/>
          <w:sz w:val="24"/>
          <w:szCs w:val="24"/>
          <w:lang w:val="en-US" w:eastAsia="zh-CN" w:bidi="ar-SA"/>
        </w:rPr>
      </w:pPr>
      <w:r>
        <w:rPr>
          <w:rFonts w:ascii="Times New Roman" w:hAnsi="Times New Roman" w:eastAsia="宋体" w:cstheme="minorBidi"/>
          <w:kern w:val="2"/>
          <w:sz w:val="24"/>
          <w:szCs w:val="24"/>
          <w:lang w:val="en-US" w:eastAsia="zh-CN" w:bidi="ar-SA"/>
        </w:rPr>
        <w:pict>
          <v:shape id="_x0000_s2081" o:spid="_x0000_s2081" o:spt="75" type="#_x0000_t75" style="position:absolute;left:0pt;margin-left:20.15pt;margin-top:4.25pt;height:114pt;width:131.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v:shape>
          <o:OLEObject Type="Embed" ProgID="ChemDraw.Document.6.0" ShapeID="_x0000_s2081" DrawAspect="Content" ObjectID="_1468075737" r:id="rId44">
            <o:LockedField>false</o:LockedField>
          </o:OLEObject>
        </w:pict>
      </w:r>
      <w:r>
        <w:rPr>
          <w:rFonts w:ascii="Times New Roman" w:hAnsi="Times New Roman" w:eastAsia="宋体" w:cstheme="minorBidi"/>
          <w:kern w:val="2"/>
          <w:sz w:val="24"/>
          <w:szCs w:val="24"/>
          <w:lang w:val="en-US" w:eastAsia="zh-CN" w:bidi="ar-SA"/>
        </w:rPr>
        <w:t>目标产物2，白色固体0.519 g，产率85.9%。</w:t>
      </w:r>
      <w:r>
        <w:rPr>
          <w:rFonts w:ascii="Times New Roman" w:hAnsi="Times New Roman" w:eastAsia="宋体" w:cstheme="minorBidi"/>
          <w:kern w:val="2"/>
          <w:sz w:val="24"/>
          <w:szCs w:val="24"/>
          <w:vertAlign w:val="superscript"/>
          <w:lang w:val="en-US" w:eastAsia="zh-CN" w:bidi="ar-SA"/>
        </w:rPr>
        <w:t>1</w:t>
      </w:r>
      <w:r>
        <w:rPr>
          <w:rFonts w:ascii="Times New Roman" w:hAnsi="Times New Roman" w:eastAsia="宋体" w:cstheme="minorBidi"/>
          <w:kern w:val="2"/>
          <w:sz w:val="24"/>
          <w:szCs w:val="24"/>
          <w:lang w:val="en-US" w:eastAsia="zh-CN" w:bidi="ar-SA"/>
        </w:rPr>
        <w:t>H NMR (600 MHz, CDCl</w:t>
      </w:r>
      <w:r>
        <w:rPr>
          <w:rFonts w:ascii="Times New Roman" w:hAnsi="Times New Roman" w:eastAsia="宋体" w:cstheme="minorBidi"/>
          <w:kern w:val="2"/>
          <w:sz w:val="24"/>
          <w:szCs w:val="24"/>
          <w:vertAlign w:val="subscript"/>
          <w:lang w:val="en-US" w:eastAsia="zh-CN" w:bidi="ar-SA"/>
        </w:rPr>
        <w:t>3</w:t>
      </w:r>
      <w:r>
        <w:rPr>
          <w:rFonts w:ascii="Times New Roman" w:hAnsi="Times New Roman" w:eastAsia="宋体" w:cstheme="minorBidi"/>
          <w:kern w:val="2"/>
          <w:sz w:val="24"/>
          <w:szCs w:val="24"/>
          <w:lang w:val="en-US" w:eastAsia="zh-CN" w:bidi="ar-SA"/>
        </w:rPr>
        <w:t>) δ 10.86 (s, 1H), 8.76 (s, 1H), 8.40 (t, J = 8.3 Hz, 1H), 7.56 (s, 1H), 7.10 (t, J = 8.9 Hz, 2H), 7.02 (t, J = 6.9 Hz, 1H), 4.35 (q, J = 7.4 Hz, 2H), 2.59 (q, J = 7.6 Hz, 2H), 1.38 (t, J = 7.3 Hz, 3H), 1.29 – 1.24 (m, 3H).</w:t>
      </w:r>
      <w:r>
        <w:rPr>
          <w:rFonts w:ascii="Times New Roman" w:hAnsi="Times New Roman" w:eastAsia="宋体" w:cstheme="minorBidi"/>
          <w:kern w:val="2"/>
          <w:sz w:val="24"/>
          <w:szCs w:val="24"/>
          <w:vertAlign w:val="superscript"/>
          <w:lang w:val="en-US" w:eastAsia="zh-CN" w:bidi="ar-SA"/>
        </w:rPr>
        <w:t>13</w:t>
      </w:r>
      <w:r>
        <w:rPr>
          <w:rFonts w:ascii="Times New Roman" w:hAnsi="Times New Roman" w:eastAsia="宋体" w:cstheme="minorBidi"/>
          <w:kern w:val="2"/>
          <w:sz w:val="24"/>
          <w:szCs w:val="24"/>
          <w:lang w:val="en-US" w:eastAsia="zh-CN" w:bidi="ar-SA"/>
        </w:rPr>
        <w:t>C NMR (151 MHz, CDCl</w:t>
      </w:r>
      <w:r>
        <w:rPr>
          <w:rFonts w:ascii="Times New Roman" w:hAnsi="Times New Roman" w:eastAsia="宋体" w:cstheme="minorBidi"/>
          <w:kern w:val="2"/>
          <w:sz w:val="24"/>
          <w:szCs w:val="24"/>
          <w:vertAlign w:val="subscript"/>
          <w:lang w:val="en-US" w:eastAsia="zh-CN" w:bidi="ar-SA"/>
        </w:rPr>
        <w:t>3</w:t>
      </w:r>
      <w:r>
        <w:rPr>
          <w:rFonts w:ascii="Times New Roman" w:hAnsi="Times New Roman" w:eastAsia="宋体" w:cstheme="minorBidi"/>
          <w:kern w:val="2"/>
          <w:sz w:val="24"/>
          <w:szCs w:val="24"/>
          <w:lang w:val="en-US" w:eastAsia="zh-CN" w:bidi="ar-SA"/>
        </w:rPr>
        <w:t>) δ 172.51, 165.63, 162.43, 160.95, 160.54, 153.71, 152.09, 123.97, 123.53, 121.66, 115.01, 114.88, 61.13, 25.29, 14.28, 8.82.</w:t>
      </w:r>
    </w:p>
    <w:p w14:paraId="49E88565">
      <w:pPr>
        <w:ind w:firstLine="480"/>
      </w:pPr>
      <w:r>
        <w:rPr>
          <w:rFonts w:cs="Times New Roman"/>
        </w:rPr>
        <w:pict>
          <v:shape id="_x0000_s2082" o:spid="_x0000_s2082" o:spt="75" type="#_x0000_t75" style="position:absolute;left:0pt;margin-left:24.1pt;margin-top:4.25pt;height:113pt;width:116.5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47" o:title=""/>
            <o:lock v:ext="edit" aspectratio="t"/>
            <w10:wrap type="square"/>
          </v:shape>
          <o:OLEObject Type="Embed" ProgID="ChemDraw.Document.6.0" ShapeID="_x0000_s2082" DrawAspect="Content" ObjectID="_1468075738" r:id="rId46">
            <o:LockedField>false</o:LockedField>
          </o:OLEObject>
        </w:pict>
      </w:r>
      <w:r>
        <w:rPr>
          <w:rFonts w:cs="Times New Roman"/>
        </w:rPr>
        <w:t>目</w:t>
      </w:r>
      <w:r>
        <w:t>标产物3，白色固体0.534 g，产率85.7%。</w:t>
      </w:r>
      <w:r>
        <w:rPr>
          <w:vertAlign w:val="superscript"/>
        </w:rPr>
        <w:t>1</w:t>
      </w:r>
      <w:r>
        <w:t>H NMR (600 MHz, CDCl</w:t>
      </w:r>
      <w:r>
        <w:rPr>
          <w:vertAlign w:val="subscript"/>
        </w:rPr>
        <w:t>3</w:t>
      </w:r>
      <w:r>
        <w:t>) δ 10.83 (s, 1H), 8.72 (s, 1H), 7.88 (s, 1H), 7.56 – 7.50 (m, 2H), 7.04 – 6.98 (m, 2H), 4.35 (t, J = 8.9, 4.5 Hz, 2H), 2.54 (q, J = 7.5, 2.2 Hz, 2H), 1.38 (td, J = 7.2, 2.2 Hz, 3H), 1.24 (t, J = 7.7, 2.3 Hz, 3H).</w:t>
      </w:r>
      <w:r>
        <w:rPr>
          <w:vertAlign w:val="superscript"/>
        </w:rPr>
        <w:t>13</w:t>
      </w:r>
      <w:r>
        <w:t>C NMR (151 MHz, CDCl</w:t>
      </w:r>
      <w:r>
        <w:rPr>
          <w:vertAlign w:val="subscript"/>
        </w:rPr>
        <w:t>3</w:t>
      </w:r>
      <w:r>
        <w:t>) δ 172.52, 165.64, 162.42, 160.89, 159.96, 158.35, 134.50, 122.34, 115.45, 115.30, 61.06, 25.25, 14.29, 8.77.</w:t>
      </w:r>
    </w:p>
    <w:p w14:paraId="2BE9D633">
      <w:pPr>
        <w:ind w:firstLine="480"/>
      </w:pPr>
      <w:r>
        <w:pict>
          <v:shape id="_x0000_s2083" o:spid="_x0000_s2083" o:spt="75" type="#_x0000_t75" style="position:absolute;left:0pt;margin-left:0.1pt;margin-top:2.9pt;height:95pt;width:141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49" o:title=""/>
            <o:lock v:ext="edit" aspectratio="t"/>
            <w10:wrap type="square"/>
          </v:shape>
          <o:OLEObject Type="Embed" ProgID="ChemDraw.Document.6.0" ShapeID="_x0000_s2083" DrawAspect="Content" ObjectID="_1468075739" r:id="rId48">
            <o:LockedField>false</o:LockedField>
          </o:OLEObject>
        </w:pict>
      </w:r>
      <w:r>
        <w:t>目标产物4，淡黄色固体0.476</w:t>
      </w:r>
      <w:r>
        <w:rPr>
          <w:rFonts w:hint="eastAsia"/>
        </w:rPr>
        <w:t xml:space="preserve"> </w:t>
      </w:r>
      <w:r>
        <w:t>g，产率84.8%。</w:t>
      </w:r>
    </w:p>
    <w:p w14:paraId="3F33046C">
      <w:pPr>
        <w:ind w:firstLine="480"/>
      </w:pPr>
      <w:r>
        <w:rPr>
          <w:color w:val="000000"/>
          <w:vertAlign w:val="superscript"/>
        </w:rPr>
        <w:t>1</w:t>
      </w:r>
      <w:r>
        <w:rPr>
          <w:color w:val="000000"/>
        </w:rPr>
        <w:t>H NMR (600 MHz, CDCl</w:t>
      </w:r>
      <w:r>
        <w:rPr>
          <w:color w:val="000000"/>
          <w:vertAlign w:val="subscript"/>
        </w:rPr>
        <w:t>3</w:t>
      </w:r>
      <w:r>
        <w:rPr>
          <w:color w:val="000000"/>
        </w:rPr>
        <w:t xml:space="preserve">) δ 10.84 (s, 1H), 8.74 (s, 1H), 8.46 (d, </w:t>
      </w:r>
      <w:r>
        <w:rPr>
          <w:i/>
          <w:iCs/>
          <w:color w:val="000000"/>
        </w:rPr>
        <w:t>J</w:t>
      </w:r>
      <w:r>
        <w:rPr>
          <w:color w:val="000000"/>
        </w:rPr>
        <w:t xml:space="preserve"> = 8.2 Hz, 1H), 7.94 (s, 1H), 7.01 (t, </w:t>
      </w:r>
      <w:r>
        <w:rPr>
          <w:i/>
          <w:iCs/>
          <w:color w:val="000000"/>
        </w:rPr>
        <w:t>J</w:t>
      </w:r>
      <w:r>
        <w:rPr>
          <w:color w:val="000000"/>
        </w:rPr>
        <w:t xml:space="preserve"> = 7.8 Hz, 1H), 6.96 – 6.87 (m, 2H), 4.34 (d, </w:t>
      </w:r>
      <w:r>
        <w:rPr>
          <w:i/>
          <w:iCs/>
          <w:color w:val="000000"/>
        </w:rPr>
        <w:t>J</w:t>
      </w:r>
      <w:r>
        <w:rPr>
          <w:color w:val="000000"/>
        </w:rPr>
        <w:t xml:space="preserve"> = 7.5 Hz, 2H), 3.89 (s, 3H), 2.62 (d, </w:t>
      </w:r>
      <w:r>
        <w:rPr>
          <w:i/>
          <w:iCs/>
          <w:color w:val="000000"/>
        </w:rPr>
        <w:t>J</w:t>
      </w:r>
      <w:r>
        <w:rPr>
          <w:color w:val="000000"/>
        </w:rPr>
        <w:t xml:space="preserve"> = 7.6 Hz, 2H), 1.38 (t, </w:t>
      </w:r>
      <w:r>
        <w:rPr>
          <w:i/>
          <w:iCs/>
          <w:color w:val="000000"/>
        </w:rPr>
        <w:t>J</w:t>
      </w:r>
      <w:r>
        <w:rPr>
          <w:color w:val="000000"/>
        </w:rPr>
        <w:t xml:space="preserve"> = 7.2 Hz, 3H), 1.28 (t, </w:t>
      </w:r>
      <w:r>
        <w:rPr>
          <w:i/>
          <w:iCs/>
          <w:color w:val="000000"/>
        </w:rPr>
        <w:t>J</w:t>
      </w:r>
      <w:r>
        <w:rPr>
          <w:color w:val="000000"/>
        </w:rPr>
        <w:t xml:space="preserve"> = 7.6 Hz, 3H).</w:t>
      </w:r>
      <w:r>
        <w:rPr>
          <w:color w:val="000000"/>
          <w:vertAlign w:val="superscript"/>
        </w:rPr>
        <w:t>13</w:t>
      </w:r>
      <w:r>
        <w:rPr>
          <w:color w:val="000000"/>
        </w:rPr>
        <w:t>C NMR (151 MHz, CDCl</w:t>
      </w:r>
      <w:r>
        <w:rPr>
          <w:color w:val="000000"/>
          <w:vertAlign w:val="subscript"/>
        </w:rPr>
        <w:t>3</w:t>
      </w:r>
      <w:r>
        <w:rPr>
          <w:color w:val="000000"/>
        </w:rPr>
        <w:t>) δ 172.63, 165.76, 160.85, 160.52, 148.35, 128.19, 122.95, 120.50, 119.54, 110.07, 77.25, 77.04, 76.83, 60.98, 55.72, 25.37, 14.32, 8.85.</w:t>
      </w:r>
    </w:p>
    <w:p w14:paraId="1C175AF8">
      <w:pPr>
        <w:ind w:firstLine="480"/>
        <w:rPr>
          <w:rFonts w:cs="Times New Roman"/>
        </w:rPr>
      </w:pPr>
      <w:r>
        <w:rPr>
          <w:rFonts w:cs="Times New Roman"/>
        </w:rPr>
        <w:pict>
          <v:shape id="_x0000_s2084" o:spid="_x0000_s2084" o:spt="75" type="#_x0000_t75" style="position:absolute;left:0pt;margin-left:0.1pt;margin-top:5.65pt;height:98.5pt;width:141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51" o:title=""/>
            <o:lock v:ext="edit" aspectratio="t"/>
            <w10:wrap type="square"/>
          </v:shape>
          <o:OLEObject Type="Embed" ProgID="ChemDraw.Document.6.0" ShapeID="_x0000_s2084" DrawAspect="Content" ObjectID="_1468075740" r:id="rId50">
            <o:LockedField>false</o:LockedField>
          </o:OLEObject>
        </w:pict>
      </w:r>
      <w:r>
        <w:t>目标产物5，淡黄色固体0.466 g，产率78.5%。</w:t>
      </w:r>
      <w:r>
        <w:rPr>
          <w:vertAlign w:val="superscript"/>
        </w:rPr>
        <w:t>1</w:t>
      </w:r>
      <w:r>
        <w:t>H NMR (600 MHz, CDCl</w:t>
      </w:r>
      <w:r>
        <w:rPr>
          <w:vertAlign w:val="subscript"/>
        </w:rPr>
        <w:t>3</w:t>
      </w:r>
      <w:r>
        <w:t>) δ 10.84 (s, 1H), 8.74 (s, 1H), 7.89 (s, 1H), 7.39 (s, 1H), 7.21 (t, J = 8.1 Hz, 1H), 7.07 (d, J = 8.0 Hz, 1H), 6.63 (d, J = 8.2 Hz, 1H), 4.34 (d, J = 7.2 Hz, 2H), 3.81 (d, J = 2.0 Hz, 3H), 2.60 (q, J = 7.6 Hz, 2H), 1.38 (t, J = 7.2 Hz, 3H), 1.24 (t, J = 7.6 Hz, 3H).</w:t>
      </w:r>
      <w:r>
        <w:rPr>
          <w:vertAlign w:val="superscript"/>
        </w:rPr>
        <w:t>13</w:t>
      </w:r>
      <w:r>
        <w:t>C NMR (151 MHz, CDCl</w:t>
      </w:r>
      <w:r>
        <w:rPr>
          <w:vertAlign w:val="subscript"/>
        </w:rPr>
        <w:t>3</w:t>
      </w:r>
      <w:r>
        <w:t>) δ 172.71, 165.67, 162.42, 160.6</w:t>
      </w:r>
      <w:r>
        <w:rPr>
          <w:rFonts w:cs="Times New Roman"/>
        </w:rPr>
        <w:t>9, 160.12, 139.71, 129.42, 112.68, 108.32, 106.91, 61.03, 55.29, 25.19, 14.30, 8.73.</w:t>
      </w:r>
    </w:p>
    <w:p w14:paraId="151B6821">
      <w:pPr>
        <w:ind w:firstLine="480"/>
      </w:pPr>
      <w:r>
        <w:pict>
          <v:shape id="_x0000_s2085" o:spid="_x0000_s2085" o:spt="75" type="#_x0000_t75" style="position:absolute;left:0pt;margin-left:24.1pt;margin-top:4.25pt;height:116.5pt;width:116.5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53" o:title=""/>
            <o:lock v:ext="edit" aspectratio="t"/>
            <w10:wrap type="square"/>
          </v:shape>
          <o:OLEObject Type="Embed" ProgID="ChemDraw.Document.6.0" ShapeID="_x0000_s2085" DrawAspect="Content" ObjectID="_1468075741" r:id="rId52">
            <o:LockedField>false</o:LockedField>
          </o:OLEObject>
        </w:pict>
      </w:r>
      <w:r>
        <w:t>目标产物6，淡黄色固体0.514</w:t>
      </w:r>
      <w:r>
        <w:rPr>
          <w:rFonts w:hint="eastAsia"/>
        </w:rPr>
        <w:t xml:space="preserve"> </w:t>
      </w:r>
      <w:r>
        <w:t>g，产率85.1%。</w:t>
      </w:r>
      <w:r>
        <w:rPr>
          <w:vertAlign w:val="superscript"/>
        </w:rPr>
        <w:t>1</w:t>
      </w:r>
      <w:r>
        <w:t>H NMR (600 MHz, CDCl</w:t>
      </w:r>
      <w:r>
        <w:rPr>
          <w:vertAlign w:val="subscript"/>
        </w:rPr>
        <w:t>3</w:t>
      </w:r>
      <w:r>
        <w:t xml:space="preserve">) δ 10.78 (s, 1H), 8.71 (s, 1H), 7.76 (s, 1H), 7.45 (d, </w:t>
      </w:r>
      <w:r>
        <w:rPr>
          <w:i/>
          <w:iCs/>
        </w:rPr>
        <w:t>J</w:t>
      </w:r>
      <w:r>
        <w:t xml:space="preserve"> = 8.4 Hz, 2H), 6.86 (d, </w:t>
      </w:r>
      <w:r>
        <w:rPr>
          <w:i/>
          <w:iCs/>
        </w:rPr>
        <w:t>J</w:t>
      </w:r>
      <w:r>
        <w:t xml:space="preserve"> = 8.2 Hz, 2H), 4.37 – 4.29 (m, 2H), 3.82 – 3.77 (m, 3H), 2.53 (q, </w:t>
      </w:r>
      <w:r>
        <w:rPr>
          <w:i/>
          <w:iCs/>
        </w:rPr>
        <w:t>J</w:t>
      </w:r>
      <w:r>
        <w:t xml:space="preserve"> = 7.7 Hz, 2H), 1.37 (tt, </w:t>
      </w:r>
      <w:r>
        <w:rPr>
          <w:i/>
          <w:iCs/>
        </w:rPr>
        <w:t>J</w:t>
      </w:r>
      <w:r>
        <w:t xml:space="preserve"> = 7.2, 1.6 Hz, 3H), 1.23 (t, </w:t>
      </w:r>
      <w:r>
        <w:rPr>
          <w:i/>
          <w:iCs/>
        </w:rPr>
        <w:t>J</w:t>
      </w:r>
      <w:r>
        <w:t xml:space="preserve"> = 7.6 Hz, 3H).</w:t>
      </w:r>
      <w:r>
        <w:rPr>
          <w:vertAlign w:val="superscript"/>
        </w:rPr>
        <w:t>13</w:t>
      </w:r>
      <w:r>
        <w:t>C NMR (151 MHz, CDCl</w:t>
      </w:r>
      <w:r>
        <w:rPr>
          <w:vertAlign w:val="subscript"/>
        </w:rPr>
        <w:t>3</w:t>
      </w:r>
      <w:r>
        <w:t>) δ 172.58, 165.73, 162.53, 160.92, 156.28, 131.43, 122.64, 114.15, 113.97, 60.94, 55.52, 25.24, 14.31, 8.78.</w:t>
      </w:r>
    </w:p>
    <w:p w14:paraId="3EC767EC">
      <w:pPr>
        <w:ind w:firstLine="480"/>
      </w:pPr>
      <w:r>
        <w:t>目标产物7，白色固体0.504</w:t>
      </w:r>
      <w:r>
        <w:rPr>
          <w:rFonts w:hint="eastAsia"/>
        </w:rPr>
        <w:t xml:space="preserve"> </w:t>
      </w:r>
      <w:r>
        <w:t>g，产率84.8%。</w:t>
      </w:r>
      <w:r>
        <w:rPr>
          <w:vertAlign w:val="superscript"/>
        </w:rPr>
        <w:t>1</w:t>
      </w:r>
      <w:r>
        <w:t>H NMR (600 MHz, CDCl</w:t>
      </w:r>
      <w:r>
        <w:rPr>
          <w:vertAlign w:val="subscript"/>
        </w:rPr>
        <w:t>3</w:t>
      </w:r>
      <w:r>
        <w:t>) δ 10.74 (s, 1H), 8.71 (s, 1H), 7.81 (d, J = 8.0 Hz, 1H), 7.22 – 7.15 (m, 2H), 7.08 (t, J = 7.4, 1.3 Hz, 1H), 4.34 (q, J = 7.1 Hz, 2H), 2.45 (q, J = 7.8 Hz, 2H), 2.29 (s, 3H), 1.37 (t, J = 7.1 Hz, 3H), 1.18 (t, J = 7.6 Hz, 3H).</w:t>
      </w:r>
      <w:r>
        <w:rPr>
          <w:vertAlign w:val="superscript"/>
        </w:rPr>
        <w:t>13</w:t>
      </w:r>
      <w:r>
        <w:t>C NMR (151 MHz, CDCl</w:t>
      </w:r>
      <w:r>
        <w:rPr>
          <w:vertAlign w:val="subscript"/>
        </w:rPr>
        <w:t>3</w:t>
      </w:r>
      <w:r>
        <w:t>) δ 172.61, 165.71, 162.60, 161.30, 161.00, 136.34, 130.50, 126.27, 124.94, 123.51, 60.97, 25.13, 18.07, 14.31, 8.73.</w:t>
      </w:r>
      <w:r>
        <w:pict>
          <v:shape id="_x0000_s2086" o:spid="_x0000_s2086" o:spt="75" type="#_x0000_t75" style="position:absolute;left:0pt;margin-left:24.1pt;margin-top:4.25pt;height:101.5pt;width:128.5pt;mso-wrap-distance-bottom:0pt;mso-wrap-distance-left:9pt;mso-wrap-distance-right:9pt;mso-wrap-distance-top:0pt;z-index:251664384;mso-width-relative:page;mso-height-relative:page;" o:ole="t" filled="f" o:preferrelative="t" stroked="f" coordsize="21600,21600">
            <v:path/>
            <v:fill on="f" focussize="0,0"/>
            <v:stroke on="f" joinstyle="miter"/>
            <v:imagedata r:id="rId55" o:title=""/>
            <o:lock v:ext="edit" aspectratio="t"/>
            <w10:wrap type="square"/>
          </v:shape>
          <o:OLEObject Type="Embed" ProgID="ChemDraw.Document.6.0" ShapeID="_x0000_s2086" DrawAspect="Content" ObjectID="_1468075742" r:id="rId54">
            <o:LockedField>false</o:LockedField>
          </o:OLEObject>
        </w:pict>
      </w:r>
    </w:p>
    <w:p w14:paraId="1FC16FF5">
      <w:pPr>
        <w:ind w:firstLine="480"/>
      </w:pPr>
    </w:p>
    <w:p w14:paraId="39800451">
      <w:pPr>
        <w:ind w:firstLine="480"/>
      </w:pPr>
    </w:p>
    <w:p w14:paraId="77FEAC79">
      <w:pPr>
        <w:ind w:firstLine="480"/>
      </w:pPr>
    </w:p>
    <w:p w14:paraId="0CB8DC9D">
      <w:pPr>
        <w:ind w:firstLine="480"/>
      </w:pPr>
      <w:r>
        <w:pict>
          <v:shape id="_x0000_s2087" o:spid="_x0000_s2087" o:spt="75" type="#_x0000_t75" style="position:absolute;left:0pt;margin-left:24.1pt;margin-top:6.5pt;height:96.5pt;width:128.5pt;mso-wrap-distance-bottom:0pt;mso-wrap-distance-left:9pt;mso-wrap-distance-right:9pt;mso-wrap-distance-top:0pt;z-index:251665408;mso-width-relative:page;mso-height-relative:page;" o:ole="t" filled="f" o:preferrelative="t" stroked="f" coordsize="21600,21600">
            <v:path/>
            <v:fill on="f" focussize="0,0"/>
            <v:stroke on="f" joinstyle="miter"/>
            <v:imagedata r:id="rId57" o:title=""/>
            <o:lock v:ext="edit" aspectratio="t"/>
            <w10:wrap type="square"/>
          </v:shape>
          <o:OLEObject Type="Embed" ProgID="ChemDraw.Document.6.0" ShapeID="_x0000_s2087" DrawAspect="Content" ObjectID="_1468075743" r:id="rId56">
            <o:LockedField>false</o:LockedField>
          </o:OLEObject>
        </w:pict>
      </w:r>
      <w:bookmarkStart w:id="31" w:name="OLE_LINK1"/>
      <w:r>
        <w:t>目标产物8，白色固体0.517</w:t>
      </w:r>
      <w:r>
        <w:rPr>
          <w:rFonts w:hint="eastAsia"/>
        </w:rPr>
        <w:t xml:space="preserve"> </w:t>
      </w:r>
      <w:r>
        <w:t>g，产率86.0%。</w:t>
      </w:r>
      <w:bookmarkEnd w:id="31"/>
      <w:r>
        <w:rPr>
          <w:vertAlign w:val="superscript"/>
        </w:rPr>
        <w:t>1</w:t>
      </w:r>
      <w:r>
        <w:t>H NMR (600 MHz, CDCl</w:t>
      </w:r>
      <w:r>
        <w:rPr>
          <w:vertAlign w:val="subscript"/>
        </w:rPr>
        <w:t>3</w:t>
      </w:r>
      <w:r>
        <w:t xml:space="preserve">) δ 10.87 (s, 1H), 8.74 (s, 1H), 7.87 (s, 1H), 7.46 (d, </w:t>
      </w:r>
      <w:r>
        <w:rPr>
          <w:i/>
          <w:iCs/>
        </w:rPr>
        <w:t>J</w:t>
      </w:r>
      <w:r>
        <w:t xml:space="preserve"> = 8.1 Hz, 1H), 7.36 (s, 1H), 7.23 – 7.17 (m, 1H), 6.90 (d, </w:t>
      </w:r>
      <w:r>
        <w:rPr>
          <w:i/>
          <w:iCs/>
        </w:rPr>
        <w:t>J</w:t>
      </w:r>
      <w:r>
        <w:t xml:space="preserve"> = 7.5 Hz, 1H), 4.34 (q, </w:t>
      </w:r>
      <w:r>
        <w:rPr>
          <w:i/>
          <w:iCs/>
        </w:rPr>
        <w:t>J</w:t>
      </w:r>
      <w:r>
        <w:t xml:space="preserve"> = 7.1, 1.8 Hz, 2H), 2.56 (q, </w:t>
      </w:r>
      <w:r>
        <w:rPr>
          <w:i/>
          <w:iCs/>
        </w:rPr>
        <w:t>J</w:t>
      </w:r>
      <w:r>
        <w:t xml:space="preserve"> = 7.6, 1.9 Hz, 2H), 2.35 (d, </w:t>
      </w:r>
      <w:r>
        <w:rPr>
          <w:i/>
          <w:iCs/>
        </w:rPr>
        <w:t>J</w:t>
      </w:r>
      <w:r>
        <w:t xml:space="preserve"> = 1.9 Hz, 3H), 1.37 (td, </w:t>
      </w:r>
      <w:r>
        <w:rPr>
          <w:i/>
          <w:iCs/>
        </w:rPr>
        <w:t>J</w:t>
      </w:r>
      <w:r>
        <w:t xml:space="preserve"> = 7.1, 1.9 Hz, 3H), 1.24 (td, </w:t>
      </w:r>
      <w:r>
        <w:rPr>
          <w:i/>
          <w:iCs/>
        </w:rPr>
        <w:t>J</w:t>
      </w:r>
      <w:r>
        <w:t xml:space="preserve"> = 7.6, 1.8 Hz, 3H).</w:t>
      </w:r>
      <w:r>
        <w:rPr>
          <w:vertAlign w:val="superscript"/>
        </w:rPr>
        <w:t>13</w:t>
      </w:r>
      <w:r>
        <w:t>C NMR (151 MHz, CDCl</w:t>
      </w:r>
      <w:r>
        <w:rPr>
          <w:vertAlign w:val="subscript"/>
        </w:rPr>
        <w:t>3</w:t>
      </w:r>
      <w:r>
        <w:t>) δ 172.59, 165.69, 162.49, 160.86, 160.79, 138.62, 138.42, 128.57, 124.49, 120.99, 117.60, 61.00, 25.27, 21.55, 14.31, 8.82.</w:t>
      </w:r>
    </w:p>
    <w:p w14:paraId="46D99A0F">
      <w:pPr>
        <w:ind w:firstLine="480"/>
      </w:pPr>
      <w:r>
        <w:pict>
          <v:shape id="_x0000_s2088" o:spid="_x0000_s2088" o:spt="75" type="#_x0000_t75" style="position:absolute;left:0pt;margin-left:24.1pt;margin-top:0.55pt;height:109pt;width:116.5pt;mso-wrap-distance-bottom:0pt;mso-wrap-distance-left:9pt;mso-wrap-distance-right:9pt;mso-wrap-distance-top:0pt;z-index:251666432;mso-width-relative:page;mso-height-relative:page;" o:ole="t" filled="f" o:preferrelative="t" stroked="f" coordsize="21600,21600">
            <v:path/>
            <v:fill on="f" focussize="0,0"/>
            <v:stroke on="f" joinstyle="miter"/>
            <v:imagedata r:id="rId59" o:title=""/>
            <o:lock v:ext="edit" aspectratio="t"/>
            <w10:wrap type="square"/>
          </v:shape>
          <o:OLEObject Type="Embed" ProgID="ChemDraw.Document.6.0" ShapeID="_x0000_s2088" DrawAspect="Content" ObjectID="_1468075744" r:id="rId58">
            <o:LockedField>false</o:LockedField>
          </o:OLEObject>
        </w:pict>
      </w:r>
      <w:r>
        <w:t>目标产物9，白色固体0.526</w:t>
      </w:r>
      <w:r>
        <w:rPr>
          <w:rFonts w:hint="eastAsia"/>
        </w:rPr>
        <w:t xml:space="preserve"> </w:t>
      </w:r>
      <w:r>
        <w:t>g，产率84.5%。</w:t>
      </w:r>
      <w:r>
        <w:rPr>
          <w:vertAlign w:val="superscript"/>
        </w:rPr>
        <w:t>1</w:t>
      </w:r>
      <w:r>
        <w:t>H NMR (600 MHz, CDCl</w:t>
      </w:r>
      <w:r>
        <w:rPr>
          <w:vertAlign w:val="subscript"/>
        </w:rPr>
        <w:t>3</w:t>
      </w:r>
      <w:r>
        <w:t>) δ 10.82 (s, 1H), 8.72 (s, 1H), 7.70 (s, 1H), 7.46 (d, J = 8.0 Hz, 2H), 7.11 (d, J = 7.8 Hz, 2H), 4.37 – 4.29 (m, 2H), 2.56 (ddd, J = 9.0, 5.2, 1.9 Hz, 2H), 2.33 (d, J = 2.2 Hz, 3H), 1.37 (tt, J = 7.1, 1.6 Hz, 3H), 1.25 (tt, J = 7.4, 1.7 Hz, 3H).</w:t>
      </w:r>
      <w:r>
        <w:rPr>
          <w:vertAlign w:val="superscript"/>
        </w:rPr>
        <w:t>13</w:t>
      </w:r>
      <w:r>
        <w:t>C NMR (151 MHz, CDCl</w:t>
      </w:r>
      <w:r>
        <w:rPr>
          <w:vertAlign w:val="subscript"/>
        </w:rPr>
        <w:t>3</w:t>
      </w:r>
      <w:r>
        <w:t>) δ 172.59, 165.70, 162.51, 160.78, 135.82, 133.38, 129.28, 120.59, 77.25, 77.04, 76.83, 60.98, 25.27, 20.86, 14.31, 8.79.</w:t>
      </w:r>
      <w:bookmarkStart w:id="32" w:name="_Ref2455"/>
    </w:p>
    <w:p w14:paraId="27FA804B">
      <w:pPr>
        <w:pStyle w:val="2"/>
        <w:numPr>
          <w:ilvl w:val="0"/>
          <w:numId w:val="2"/>
        </w:numPr>
        <w:ind w:firstLineChars="0"/>
        <w:rPr>
          <w:rFonts w:cstheme="minorBidi"/>
        </w:rPr>
      </w:pPr>
      <w:bookmarkStart w:id="33" w:name="_Toc21023"/>
      <w:r>
        <w:t>总结</w:t>
      </w:r>
      <w:bookmarkEnd w:id="33"/>
    </w:p>
    <w:p w14:paraId="0DB72DD8">
      <w:pPr>
        <w:bidi w:val="0"/>
      </w:pPr>
      <w:r>
        <w:t>以微管亲和力调节激酶（MARK）为靶点，针对它在阿尔兹海默症（AD）发病机制里扮演的核心角色——调控Tau蛋白磷酸化及微管稳态——设计并合成一系列嘧啶类MARK抑制剂。该工作分几个方面展开：一是梳理MARK激酶家族的发现过程、结构特征与生物学功能，二是阐明Tau蛋白、微管稳态跟Tau病之间的内在联系，三是重点剖析MARK–Tau轴在AD中的核心致病机制，最后总结MARK4作为AD治疗靶点的系统性证据以及MARK抑制剂的研究进展与类型拓展。文献分析显示，AD患者脑组织中MARK4活性明显升高，与p-Tau Ser262共定位，而且AD风险相关突变体还会加重Tau病理——这说明MARK4确实是个很有潜力的药物靶点。不过，现有MARK抑制剂面临分子类型偏少、选择性不够、中枢神经系统渗透性差等问题，急需开发结构新颖、合成方便的候选化合物。基于上述背景，本研究设计了一条高效、可行的合成路线。以2-甲硫基-4-氯嘧啶-5-甲酸乙酯为起始原料，首先与盐酸羟胺在乙腈/三乙胺条件下室温反应，以82.5%的产率制得中间体Ⅰ（2-甲硫基-4-羟基亚胺基嘧啶-5-甲酸乙酯）。中间体Ⅰ与不同取代的芳胺（包括间氟苯胺、对甲氧基苯胺、邻甲氧基苯胺、间甲基苯胺、对甲基苯胺等9种）在无水乙醇中、浓盐酸催化下于95℃回流缩合，以81.5%～90.5%的产率得到一系列中间体Ⅱ。随后，中间体Ⅱ在冰浴条件下与丙酰氯、三乙胺在四氢呋喃中反应，引入丙酰胺结构，以78.5%～90.1%的产率制得9个目标产物。所有中间体及目标产物的结构均通过¹H NMR和¹³C NMR进行了确证，波谱数据与预期结构一致。</w:t>
      </w:r>
    </w:p>
    <w:p w14:paraId="397419D8">
      <w:pPr>
        <w:ind w:firstLine="480"/>
      </w:pPr>
      <w:r>
        <w:t>本研究共成功合成了9个结构新颖的嘧啶类MARK抑制剂，总产率在78.5%～90.5%之间。该合成路线具有以下优点：</w:t>
      </w:r>
      <w:r>
        <w:rPr>
          <w:rFonts w:ascii="Cambria Math" w:hAnsi="Cambria Math" w:cs="Cambria Math"/>
        </w:rPr>
        <w:t>①</w:t>
      </w:r>
      <w:r>
        <w:t>反应条件温和（室温或95℃回流，冰浴丙酰化），操作简便；</w:t>
      </w:r>
      <w:r>
        <w:rPr>
          <w:rFonts w:ascii="Cambria Math" w:hAnsi="Cambria Math" w:cs="Cambria Math"/>
        </w:rPr>
        <w:t>②</w:t>
      </w:r>
      <w:r>
        <w:t>起始原料廉价易得，试剂均为常规化学品；</w:t>
      </w:r>
      <w:r>
        <w:rPr>
          <w:rFonts w:ascii="Cambria Math" w:hAnsi="Cambria Math" w:cs="Cambria Math"/>
        </w:rPr>
        <w:t>③</w:t>
      </w:r>
      <w:r>
        <w:t>通过改变芳胺取代基可方便地引入结构多样性，为构效关系研究提供了物质基础；</w:t>
      </w:r>
      <w:r>
        <w:rPr>
          <w:rFonts w:ascii="Cambria Math" w:hAnsi="Cambria Math" w:cs="Cambria Math"/>
        </w:rPr>
        <w:t>④</w:t>
      </w:r>
      <w:r>
        <w:t>各步产率较高，适合后续规模化制备。</w:t>
      </w:r>
    </w:p>
    <w:p w14:paraId="6406493E">
      <w:pPr>
        <w:ind w:firstLine="480"/>
      </w:pPr>
      <w:r>
        <w:t>综上所述，本论文开发了一条可行、高效、便捷的嘧啶类MARK抑制剂合成方法，成功获得了9个目标化合物，并对其结构进行了全面确证。该研究不仅丰富了MARK抑制剂的化学实体库，也为后续体外酶活性筛选、细胞水平Tau磷酸化抑制实验以及抗AD药效评价奠定了坚实的理论和实践基础。后续工作可进一步优化取代基结构，开展激酶选择性及血脑屏障通透性研究，以期发现具有临床开发前景的MARK抑制剂候选药物。</w:t>
      </w:r>
    </w:p>
    <w:p w14:paraId="38D35FEA">
      <w:pPr>
        <w:ind w:firstLine="560"/>
        <w:rPr>
          <w:rFonts w:cs="Times New Roman"/>
          <w:sz w:val="28"/>
          <w:szCs w:val="28"/>
        </w:rPr>
      </w:pPr>
      <w:r>
        <w:rPr>
          <w:rFonts w:cs="Times New Roman"/>
          <w:sz w:val="28"/>
          <w:szCs w:val="28"/>
        </w:rPr>
        <w:br w:type="page"/>
      </w:r>
    </w:p>
    <w:p w14:paraId="34E303F8">
      <w:pPr>
        <w:pStyle w:val="2"/>
        <w:ind w:firstLine="600"/>
        <w:jc w:val="center"/>
      </w:pPr>
      <w:bookmarkStart w:id="34" w:name="_Toc5983"/>
      <w:r>
        <w:t>参考文献</w:t>
      </w:r>
      <w:bookmarkEnd w:id="34"/>
    </w:p>
    <w:p w14:paraId="5EB7FB2A">
      <w:pPr>
        <w:numPr>
          <w:ilvl w:val="0"/>
          <w:numId w:val="3"/>
        </w:numPr>
        <w:tabs>
          <w:tab w:val="left" w:pos="0"/>
        </w:tabs>
        <w:spacing w:line="240" w:lineRule="auto"/>
        <w:ind w:firstLine="0" w:firstLineChars="0"/>
        <w:rPr>
          <w:rFonts w:cs="Times New Roman"/>
          <w:sz w:val="21"/>
          <w:szCs w:val="21"/>
        </w:rPr>
      </w:pPr>
      <w:r>
        <w:rPr>
          <w:rFonts w:cs="Times New Roman"/>
          <w:sz w:val="21"/>
          <w:szCs w:val="21"/>
        </w:rPr>
        <w:t>Mandelkow E M, Drewes G, Biernat J, et al. Tau domains, phosphorylation, and interactions with microtubules[J]. Neurobiology of Aging, 2004, 25(5): 581–592.</w:t>
      </w:r>
      <w:bookmarkEnd w:id="32"/>
    </w:p>
    <w:p w14:paraId="5458DF4F">
      <w:pPr>
        <w:numPr>
          <w:ilvl w:val="0"/>
          <w:numId w:val="3"/>
        </w:numPr>
        <w:tabs>
          <w:tab w:val="left" w:pos="0"/>
        </w:tabs>
        <w:spacing w:line="240" w:lineRule="auto"/>
        <w:ind w:firstLine="0" w:firstLineChars="0"/>
        <w:rPr>
          <w:rFonts w:cs="Times New Roman"/>
          <w:sz w:val="21"/>
          <w:szCs w:val="21"/>
        </w:rPr>
      </w:pPr>
      <w:bookmarkStart w:id="35" w:name="_Ref2576"/>
      <w:r>
        <w:rPr>
          <w:rFonts w:cs="Times New Roman"/>
          <w:sz w:val="21"/>
          <w:szCs w:val="21"/>
        </w:rPr>
        <w:t>Trinczek B, Brajenovic M, Ebneth A, et al. MARK4 is a novel microtubule-associated protein/microtubule affinity-regulating kinase that binds to the centrosome[J]. Journal of Biological Chemistry, 2004, 279(7): 5915–5923.</w:t>
      </w:r>
      <w:bookmarkEnd w:id="35"/>
    </w:p>
    <w:p w14:paraId="0A5BB687">
      <w:pPr>
        <w:numPr>
          <w:ilvl w:val="0"/>
          <w:numId w:val="3"/>
        </w:numPr>
        <w:tabs>
          <w:tab w:val="left" w:pos="0"/>
        </w:tabs>
        <w:spacing w:line="240" w:lineRule="auto"/>
        <w:ind w:firstLine="0" w:firstLineChars="0"/>
        <w:rPr>
          <w:rFonts w:cs="Times New Roman"/>
          <w:sz w:val="21"/>
          <w:szCs w:val="21"/>
        </w:rPr>
      </w:pPr>
      <w:bookmarkStart w:id="36" w:name="_Ref3402"/>
      <w:r>
        <w:rPr>
          <w:rFonts w:cs="Times New Roman"/>
          <w:sz w:val="21"/>
          <w:szCs w:val="21"/>
        </w:rPr>
        <w:t>Tochio N, Koshiba S, Kobayashi N, et al. Solution structure of the kinase-associated domain from microtubule affinity-regulating kinase 3[J]. Protein Science, 2006, 15(11): 2534–2543.</w:t>
      </w:r>
      <w:bookmarkEnd w:id="36"/>
    </w:p>
    <w:p w14:paraId="0BA52302">
      <w:pPr>
        <w:numPr>
          <w:ilvl w:val="0"/>
          <w:numId w:val="3"/>
        </w:numPr>
        <w:tabs>
          <w:tab w:val="left" w:pos="0"/>
        </w:tabs>
        <w:spacing w:line="240" w:lineRule="auto"/>
        <w:ind w:firstLine="0" w:firstLineChars="0"/>
        <w:rPr>
          <w:rFonts w:cs="Times New Roman"/>
          <w:sz w:val="21"/>
          <w:szCs w:val="21"/>
        </w:rPr>
      </w:pPr>
      <w:bookmarkStart w:id="37" w:name="_Ref3438"/>
      <w:r>
        <w:rPr>
          <w:rFonts w:cs="Times New Roman"/>
          <w:sz w:val="21"/>
          <w:szCs w:val="21"/>
        </w:rPr>
        <w:t>Moroni R F, et al. Expression and alternative splicing of MARK4 in human tissues[J]. Gene, 2006, 377: 25–34.</w:t>
      </w:r>
      <w:bookmarkEnd w:id="37"/>
    </w:p>
    <w:p w14:paraId="0466B0EB">
      <w:pPr>
        <w:numPr>
          <w:ilvl w:val="0"/>
          <w:numId w:val="3"/>
        </w:numPr>
        <w:tabs>
          <w:tab w:val="left" w:pos="0"/>
        </w:tabs>
        <w:spacing w:line="240" w:lineRule="auto"/>
        <w:ind w:firstLine="0" w:firstLineChars="0"/>
        <w:rPr>
          <w:rFonts w:cs="Times New Roman"/>
          <w:sz w:val="21"/>
          <w:szCs w:val="21"/>
        </w:rPr>
      </w:pPr>
      <w:bookmarkStart w:id="38" w:name="_Ref3497"/>
      <w:r>
        <w:rPr>
          <w:rFonts w:cs="Times New Roman"/>
          <w:sz w:val="21"/>
          <w:szCs w:val="21"/>
        </w:rPr>
        <w:t>Rovina D, et al. Microtubule affinity-regulating kinase 4 controls cell cycle progression and centrosome dynamics[J]. European Journal of Cell Biology, 2014, 93(3): 147–156.</w:t>
      </w:r>
      <w:bookmarkEnd w:id="38"/>
    </w:p>
    <w:p w14:paraId="63303605">
      <w:pPr>
        <w:numPr>
          <w:ilvl w:val="0"/>
          <w:numId w:val="3"/>
        </w:numPr>
        <w:tabs>
          <w:tab w:val="left" w:pos="0"/>
        </w:tabs>
        <w:spacing w:line="240" w:lineRule="auto"/>
        <w:ind w:firstLine="0" w:firstLineChars="0"/>
        <w:rPr>
          <w:rFonts w:cs="Times New Roman"/>
          <w:sz w:val="21"/>
          <w:szCs w:val="21"/>
        </w:rPr>
      </w:pPr>
      <w:bookmarkStart w:id="39" w:name="_Ref3559"/>
      <w:r>
        <w:rPr>
          <w:rFonts w:cs="Times New Roman"/>
          <w:sz w:val="21"/>
          <w:szCs w:val="21"/>
        </w:rPr>
        <w:t>Li L, Guan K L. Microtubule-associated protein/microtubule affinity-regulating kinase 4 inhibits mTORC1 signaling[J]. Journal of Biological Chemistry, 2013, 288(10): 7033–7043.</w:t>
      </w:r>
      <w:bookmarkEnd w:id="39"/>
    </w:p>
    <w:p w14:paraId="4A192A84">
      <w:pPr>
        <w:numPr>
          <w:ilvl w:val="0"/>
          <w:numId w:val="3"/>
        </w:numPr>
        <w:tabs>
          <w:tab w:val="left" w:pos="0"/>
        </w:tabs>
        <w:spacing w:line="240" w:lineRule="auto"/>
        <w:ind w:firstLine="0" w:firstLineChars="0"/>
        <w:rPr>
          <w:rFonts w:cs="Times New Roman"/>
          <w:sz w:val="21"/>
          <w:szCs w:val="21"/>
        </w:rPr>
      </w:pPr>
      <w:bookmarkStart w:id="40" w:name="_Ref3608"/>
      <w:r>
        <w:rPr>
          <w:rFonts w:cs="Times New Roman"/>
          <w:sz w:val="21"/>
          <w:szCs w:val="21"/>
        </w:rPr>
        <w:t>Li L, Guan K L. Correction: Microtubule-associated protein/microtubule affinity-regulating kinase 4 inhibits mTORC1 signaling[J]. Journal of Biological Chemistry, 2019, 294(14): 5671.</w:t>
      </w:r>
      <w:bookmarkEnd w:id="40"/>
    </w:p>
    <w:p w14:paraId="541E2B8D">
      <w:pPr>
        <w:numPr>
          <w:ilvl w:val="0"/>
          <w:numId w:val="3"/>
        </w:numPr>
        <w:tabs>
          <w:tab w:val="left" w:pos="0"/>
        </w:tabs>
        <w:spacing w:line="240" w:lineRule="auto"/>
        <w:ind w:firstLine="0" w:firstLineChars="0"/>
        <w:rPr>
          <w:rFonts w:cs="Times New Roman"/>
          <w:sz w:val="21"/>
          <w:szCs w:val="21"/>
        </w:rPr>
      </w:pPr>
      <w:bookmarkStart w:id="41" w:name="_Ref3631"/>
      <w:r>
        <w:rPr>
          <w:rFonts w:cs="Times New Roman"/>
          <w:sz w:val="21"/>
          <w:szCs w:val="21"/>
        </w:rPr>
        <w:t>Kuhns S, Schmidt K N, Reymann J, et al. The microtubule affinity-regulating kinase MARK4 promotes ciliogenesis[J]. Journal of Cell Science, 2012, 125(20): 4753–4763.</w:t>
      </w:r>
      <w:bookmarkEnd w:id="41"/>
    </w:p>
    <w:p w14:paraId="2D83B5D9">
      <w:pPr>
        <w:numPr>
          <w:ilvl w:val="0"/>
          <w:numId w:val="3"/>
        </w:numPr>
        <w:tabs>
          <w:tab w:val="left" w:pos="0"/>
        </w:tabs>
        <w:spacing w:line="240" w:lineRule="auto"/>
        <w:ind w:firstLine="0" w:firstLineChars="0"/>
        <w:rPr>
          <w:rFonts w:cs="Times New Roman"/>
          <w:sz w:val="21"/>
          <w:szCs w:val="21"/>
        </w:rPr>
      </w:pPr>
      <w:bookmarkStart w:id="42" w:name="_Ref3748"/>
      <w:r>
        <w:rPr>
          <w:rFonts w:cs="Times New Roman"/>
          <w:sz w:val="21"/>
          <w:szCs w:val="21"/>
        </w:rPr>
        <w:t>Timm T, Marx A, Panneerselvam S, et al. Glycogen synthase kinase-3β phosphorylates MARK2 and inhibits its activity[J]. Journal of Biological Chemistry, 2008, 283(27): 18873–18881.</w:t>
      </w:r>
      <w:bookmarkEnd w:id="42"/>
    </w:p>
    <w:p w14:paraId="47F26289">
      <w:pPr>
        <w:numPr>
          <w:ilvl w:val="0"/>
          <w:numId w:val="3"/>
        </w:numPr>
        <w:tabs>
          <w:tab w:val="left" w:pos="0"/>
        </w:tabs>
        <w:spacing w:line="240" w:lineRule="auto"/>
        <w:ind w:firstLine="0" w:firstLineChars="0"/>
        <w:rPr>
          <w:rFonts w:cs="Times New Roman"/>
          <w:sz w:val="21"/>
          <w:szCs w:val="21"/>
        </w:rPr>
      </w:pPr>
      <w:bookmarkStart w:id="43" w:name="_Ref3859"/>
      <w:r>
        <w:rPr>
          <w:rFonts w:cs="Times New Roman"/>
          <w:sz w:val="21"/>
          <w:szCs w:val="21"/>
        </w:rPr>
        <w:t>Herbert M. Microtubule-associated kinases in disease: emerging roles of MARK4[J]. Trends in Molecular Medicine, 2021, 27(9): 832–845.</w:t>
      </w:r>
      <w:bookmarkEnd w:id="43"/>
    </w:p>
    <w:p w14:paraId="77F73323">
      <w:pPr>
        <w:numPr>
          <w:ilvl w:val="0"/>
          <w:numId w:val="3"/>
        </w:numPr>
        <w:tabs>
          <w:tab w:val="left" w:pos="0"/>
        </w:tabs>
        <w:spacing w:line="240" w:lineRule="auto"/>
        <w:ind w:firstLine="0" w:firstLineChars="0"/>
        <w:rPr>
          <w:rFonts w:cs="Times New Roman"/>
          <w:sz w:val="21"/>
          <w:szCs w:val="21"/>
        </w:rPr>
      </w:pPr>
      <w:bookmarkStart w:id="44" w:name="_Ref3974"/>
      <w:r>
        <w:rPr>
          <w:rFonts w:cs="Times New Roman"/>
          <w:sz w:val="21"/>
          <w:szCs w:val="21"/>
        </w:rPr>
        <w:t>陈操, 赵玉军. Tau蛋白及其在神经退行性疾病中的研究进展[J]. 中国神经精神疾病杂志, 2009, 35(6): 356–360.</w:t>
      </w:r>
      <w:bookmarkEnd w:id="44"/>
    </w:p>
    <w:p w14:paraId="7411E052">
      <w:pPr>
        <w:numPr>
          <w:ilvl w:val="0"/>
          <w:numId w:val="3"/>
        </w:numPr>
        <w:tabs>
          <w:tab w:val="left" w:pos="0"/>
        </w:tabs>
        <w:spacing w:line="240" w:lineRule="auto"/>
        <w:ind w:firstLine="0" w:firstLineChars="0"/>
        <w:rPr>
          <w:rFonts w:cs="Times New Roman"/>
          <w:sz w:val="21"/>
          <w:szCs w:val="21"/>
        </w:rPr>
      </w:pPr>
      <w:bookmarkStart w:id="45" w:name="_Ref4068"/>
      <w:r>
        <w:rPr>
          <w:rFonts w:cs="Times New Roman"/>
          <w:sz w:val="21"/>
          <w:szCs w:val="21"/>
        </w:rPr>
        <w:t>马云峰, 王琳, 刘俊. 微管相关蛋白Tau及Tau病的研究进展[J]. 解放军医学杂志, 2015, 40(6): 476–480.</w:t>
      </w:r>
      <w:bookmarkEnd w:id="45"/>
    </w:p>
    <w:p w14:paraId="1F11C000">
      <w:pPr>
        <w:numPr>
          <w:ilvl w:val="0"/>
          <w:numId w:val="3"/>
        </w:numPr>
        <w:tabs>
          <w:tab w:val="left" w:pos="0"/>
        </w:tabs>
        <w:spacing w:line="240" w:lineRule="auto"/>
        <w:ind w:firstLine="0" w:firstLineChars="0"/>
        <w:rPr>
          <w:rFonts w:cs="Times New Roman"/>
          <w:sz w:val="21"/>
          <w:szCs w:val="21"/>
        </w:rPr>
      </w:pPr>
      <w:bookmarkStart w:id="46" w:name="_Ref4124"/>
      <w:r>
        <w:rPr>
          <w:rFonts w:cs="Times New Roman"/>
          <w:sz w:val="21"/>
          <w:szCs w:val="21"/>
        </w:rPr>
        <w:t>周付涛, 刘红, 李刚. Tau蛋白异常磷酸化及其调控机制[J]. 中国药理学通报, 2012, 28(9): 1181–1185.</w:t>
      </w:r>
      <w:bookmarkEnd w:id="46"/>
    </w:p>
    <w:p w14:paraId="27096E41">
      <w:pPr>
        <w:numPr>
          <w:ilvl w:val="0"/>
          <w:numId w:val="3"/>
        </w:numPr>
        <w:tabs>
          <w:tab w:val="left" w:pos="0"/>
        </w:tabs>
        <w:spacing w:line="240" w:lineRule="auto"/>
        <w:ind w:firstLine="0" w:firstLineChars="0"/>
        <w:rPr>
          <w:rFonts w:cs="Times New Roman"/>
          <w:sz w:val="21"/>
          <w:szCs w:val="21"/>
        </w:rPr>
      </w:pPr>
      <w:bookmarkStart w:id="47" w:name="_Ref4189"/>
      <w:r>
        <w:rPr>
          <w:rFonts w:cs="Times New Roman"/>
          <w:sz w:val="21"/>
          <w:szCs w:val="21"/>
        </w:rPr>
        <w:t>燕飞, 王倩, 赵峰. 蛋白磷酸酶2A在阿尔茨海默病中的作用[J]. 中国药理学通报, 2020, 36(5): 617–622.</w:t>
      </w:r>
      <w:bookmarkEnd w:id="47"/>
    </w:p>
    <w:p w14:paraId="109B7C9E">
      <w:pPr>
        <w:numPr>
          <w:ilvl w:val="0"/>
          <w:numId w:val="3"/>
        </w:numPr>
        <w:tabs>
          <w:tab w:val="left" w:pos="0"/>
        </w:tabs>
        <w:spacing w:line="240" w:lineRule="auto"/>
        <w:ind w:firstLine="0" w:firstLineChars="0"/>
        <w:rPr>
          <w:rFonts w:cs="Times New Roman"/>
          <w:sz w:val="21"/>
          <w:szCs w:val="21"/>
        </w:rPr>
      </w:pPr>
      <w:bookmarkStart w:id="48" w:name="_Ref4258"/>
      <w:r>
        <w:rPr>
          <w:rFonts w:cs="Times New Roman"/>
          <w:sz w:val="21"/>
          <w:szCs w:val="21"/>
        </w:rPr>
        <w:t>冯利杰, 张敏, 李华. 自噬参与异常磷酸化Tau蛋白降解的研究[J]. 中国病理生理杂志, 2015, 31(3): 512–518.</w:t>
      </w:r>
      <w:bookmarkEnd w:id="48"/>
    </w:p>
    <w:p w14:paraId="3E3C938C">
      <w:pPr>
        <w:numPr>
          <w:ilvl w:val="0"/>
          <w:numId w:val="3"/>
        </w:numPr>
        <w:tabs>
          <w:tab w:val="left" w:pos="0"/>
        </w:tabs>
        <w:spacing w:line="240" w:lineRule="auto"/>
        <w:ind w:firstLine="0" w:firstLineChars="0"/>
        <w:rPr>
          <w:rFonts w:cs="Times New Roman"/>
          <w:sz w:val="21"/>
          <w:szCs w:val="21"/>
        </w:rPr>
      </w:pPr>
      <w:bookmarkStart w:id="49" w:name="_Ref4290"/>
      <w:r>
        <w:rPr>
          <w:rFonts w:cs="Times New Roman"/>
          <w:sz w:val="21"/>
          <w:szCs w:val="21"/>
        </w:rPr>
        <w:t>刘学敏. Tau蛋白介导的自噬障碍在肿瘤耐药中的作用[D]. 北京: 北京大学, 2024.</w:t>
      </w:r>
      <w:bookmarkEnd w:id="49"/>
    </w:p>
    <w:p w14:paraId="1201E7E0">
      <w:pPr>
        <w:numPr>
          <w:ilvl w:val="0"/>
          <w:numId w:val="3"/>
        </w:numPr>
        <w:tabs>
          <w:tab w:val="left" w:pos="0"/>
        </w:tabs>
        <w:spacing w:line="240" w:lineRule="auto"/>
        <w:ind w:firstLine="0" w:firstLineChars="0"/>
        <w:rPr>
          <w:rFonts w:cs="Times New Roman"/>
          <w:sz w:val="21"/>
          <w:szCs w:val="21"/>
        </w:rPr>
      </w:pPr>
      <w:bookmarkStart w:id="50" w:name="_Ref4346"/>
      <w:r>
        <w:rPr>
          <w:rFonts w:cs="Times New Roman"/>
          <w:sz w:val="21"/>
          <w:szCs w:val="21"/>
        </w:rPr>
        <w:t>刘荣宏. 基于机器学习的阿尔茨海默症β-微管蛋白调控网络研究[D]. 上海: 复旦大学, 2025.</w:t>
      </w:r>
      <w:bookmarkEnd w:id="50"/>
    </w:p>
    <w:p w14:paraId="789D0755">
      <w:pPr>
        <w:numPr>
          <w:ilvl w:val="0"/>
          <w:numId w:val="3"/>
        </w:numPr>
        <w:tabs>
          <w:tab w:val="left" w:pos="0"/>
        </w:tabs>
        <w:spacing w:line="240" w:lineRule="auto"/>
        <w:ind w:firstLine="0" w:firstLineChars="0"/>
        <w:rPr>
          <w:rFonts w:cs="Times New Roman"/>
          <w:sz w:val="21"/>
          <w:szCs w:val="21"/>
        </w:rPr>
      </w:pPr>
      <w:bookmarkStart w:id="51" w:name="_Ref4516"/>
      <w:r>
        <w:rPr>
          <w:rFonts w:cs="Times New Roman"/>
          <w:sz w:val="21"/>
          <w:szCs w:val="21"/>
        </w:rPr>
        <w:t>Yu W, Polepalli J, Wagh D, et al. A critical role for the PAR-1/MARK–tau axis in mediating Aβ toxicity in Alzheimer’s disease[J]. Human Molecular Genetics, 2012, 21(18): 4390–4402.</w:t>
      </w:r>
      <w:bookmarkEnd w:id="51"/>
    </w:p>
    <w:p w14:paraId="13078262">
      <w:pPr>
        <w:numPr>
          <w:ilvl w:val="0"/>
          <w:numId w:val="3"/>
        </w:numPr>
        <w:tabs>
          <w:tab w:val="left" w:pos="0"/>
        </w:tabs>
        <w:spacing w:line="240" w:lineRule="auto"/>
        <w:ind w:firstLine="0" w:firstLineChars="0"/>
        <w:rPr>
          <w:rFonts w:cs="Times New Roman"/>
          <w:sz w:val="21"/>
          <w:szCs w:val="21"/>
        </w:rPr>
      </w:pPr>
      <w:bookmarkStart w:id="52" w:name="_Ref4597"/>
      <w:r>
        <w:rPr>
          <w:rFonts w:cs="Times New Roman"/>
          <w:sz w:val="21"/>
          <w:szCs w:val="21"/>
        </w:rPr>
        <w:t>Lund H, Cowburn R F, Gustafsson E, et al. MARK4 and p-tau Ser262 are increased in Alzheimer’s disease brain[J]. Acta Neuropathologica Communications, 2014, 2: 22.</w:t>
      </w:r>
      <w:bookmarkEnd w:id="52"/>
    </w:p>
    <w:p w14:paraId="201CC8BA">
      <w:pPr>
        <w:numPr>
          <w:ilvl w:val="0"/>
          <w:numId w:val="3"/>
        </w:numPr>
        <w:tabs>
          <w:tab w:val="left" w:pos="0"/>
        </w:tabs>
        <w:spacing w:line="240" w:lineRule="auto"/>
        <w:ind w:firstLine="0" w:firstLineChars="0"/>
        <w:rPr>
          <w:rFonts w:cs="Times New Roman"/>
          <w:sz w:val="21"/>
          <w:szCs w:val="21"/>
        </w:rPr>
      </w:pPr>
      <w:bookmarkStart w:id="53" w:name="_Ref4695"/>
      <w:r>
        <w:rPr>
          <w:rFonts w:cs="Times New Roman"/>
          <w:sz w:val="21"/>
          <w:szCs w:val="21"/>
        </w:rPr>
        <w:t>Oba T, et al. MARK4 with an Alzheimer’s disease–associated mutation promotes tau accumulation[J]. Journal of Biological Chemistry, 2020, 295(45): 15119–15133.</w:t>
      </w:r>
      <w:bookmarkEnd w:id="53"/>
    </w:p>
    <w:p w14:paraId="60A95059">
      <w:pPr>
        <w:numPr>
          <w:ilvl w:val="0"/>
          <w:numId w:val="3"/>
        </w:numPr>
        <w:tabs>
          <w:tab w:val="left" w:pos="0"/>
        </w:tabs>
        <w:spacing w:line="240" w:lineRule="auto"/>
        <w:ind w:firstLine="0" w:firstLineChars="0"/>
        <w:rPr>
          <w:rFonts w:cs="Times New Roman"/>
          <w:sz w:val="21"/>
          <w:szCs w:val="21"/>
        </w:rPr>
      </w:pPr>
      <w:bookmarkStart w:id="54" w:name="_Ref4829"/>
      <w:r>
        <w:rPr>
          <w:rFonts w:cs="Times New Roman"/>
          <w:sz w:val="21"/>
          <w:szCs w:val="21"/>
        </w:rPr>
        <w:t>Chudobová J, Zempel H. Tau mislocalization in Alzheimer’s disease: role of MARK kinases[J]. Frontiers in Molecular Neuroscience, 2023, 16: 1187456.</w:t>
      </w:r>
      <w:bookmarkEnd w:id="54"/>
    </w:p>
    <w:p w14:paraId="68F93E71">
      <w:pPr>
        <w:numPr>
          <w:ilvl w:val="0"/>
          <w:numId w:val="3"/>
        </w:numPr>
        <w:tabs>
          <w:tab w:val="left" w:pos="0"/>
        </w:tabs>
        <w:spacing w:line="240" w:lineRule="auto"/>
        <w:ind w:firstLine="0" w:firstLineChars="0"/>
        <w:rPr>
          <w:rFonts w:cs="Times New Roman"/>
          <w:sz w:val="21"/>
          <w:szCs w:val="21"/>
        </w:rPr>
      </w:pPr>
      <w:bookmarkStart w:id="55" w:name="_Ref4882"/>
      <w:r>
        <w:rPr>
          <w:rFonts w:cs="Times New Roman"/>
          <w:sz w:val="21"/>
          <w:szCs w:val="21"/>
        </w:rPr>
        <w:t>Mumtaz F A, et al. MARK4 as a therapeutic target in tauopathies[J]. Current Alzheimer Research, 2025, 22(2): 145–158.</w:t>
      </w:r>
      <w:bookmarkEnd w:id="55"/>
    </w:p>
    <w:p w14:paraId="389CD047">
      <w:pPr>
        <w:numPr>
          <w:ilvl w:val="0"/>
          <w:numId w:val="3"/>
        </w:numPr>
        <w:tabs>
          <w:tab w:val="left" w:pos="0"/>
        </w:tabs>
        <w:spacing w:line="240" w:lineRule="auto"/>
        <w:ind w:firstLine="0" w:firstLineChars="0"/>
        <w:rPr>
          <w:rFonts w:cs="Times New Roman"/>
          <w:sz w:val="21"/>
          <w:szCs w:val="21"/>
        </w:rPr>
      </w:pPr>
      <w:bookmarkStart w:id="56" w:name="_Ref4953"/>
      <w:r>
        <w:rPr>
          <w:rFonts w:cs="Times New Roman"/>
          <w:sz w:val="21"/>
          <w:szCs w:val="21"/>
        </w:rPr>
        <w:t>Annadurai N, et al. Microtubule affinity-regulating kinases as drug targets in Alzheimer’s disease[J]. Cellular and Molecular Life Sciences, 2017, 74(23): 4159–4174.</w:t>
      </w:r>
      <w:bookmarkEnd w:id="56"/>
    </w:p>
    <w:p w14:paraId="430D4F97">
      <w:pPr>
        <w:numPr>
          <w:ilvl w:val="0"/>
          <w:numId w:val="3"/>
        </w:numPr>
        <w:tabs>
          <w:tab w:val="left" w:pos="0"/>
        </w:tabs>
        <w:spacing w:line="240" w:lineRule="auto"/>
        <w:ind w:firstLine="0" w:firstLineChars="0"/>
        <w:rPr>
          <w:rFonts w:cs="Times New Roman"/>
          <w:sz w:val="21"/>
          <w:szCs w:val="21"/>
        </w:rPr>
      </w:pPr>
      <w:bookmarkStart w:id="57" w:name="_Ref5045"/>
      <w:r>
        <w:rPr>
          <w:rFonts w:cs="Times New Roman"/>
          <w:sz w:val="21"/>
          <w:szCs w:val="21"/>
        </w:rPr>
        <w:t>D’Mello S R. Kinase signaling networks regulating tau phosphorylation[J]. Journal of Neurochemistry, 2021, 157(2): 316–330.</w:t>
      </w:r>
      <w:bookmarkEnd w:id="57"/>
    </w:p>
    <w:p w14:paraId="4D2BF675">
      <w:pPr>
        <w:numPr>
          <w:ilvl w:val="0"/>
          <w:numId w:val="3"/>
        </w:numPr>
        <w:tabs>
          <w:tab w:val="left" w:pos="0"/>
        </w:tabs>
        <w:spacing w:line="240" w:lineRule="auto"/>
        <w:ind w:firstLine="0" w:firstLineChars="0"/>
        <w:rPr>
          <w:rFonts w:cs="Times New Roman"/>
          <w:sz w:val="21"/>
          <w:szCs w:val="21"/>
        </w:rPr>
      </w:pPr>
      <w:bookmarkStart w:id="58" w:name="_Ref5120"/>
      <w:r>
        <w:rPr>
          <w:rFonts w:cs="Times New Roman"/>
          <w:sz w:val="21"/>
          <w:szCs w:val="21"/>
        </w:rPr>
        <w:t>闫东升. 阿尔茨海默症多组学整合分析及关键通路研究[D]. 北京: 中国科学院大学, 2025.</w:t>
      </w:r>
      <w:bookmarkEnd w:id="58"/>
    </w:p>
    <w:p w14:paraId="5EB477B7">
      <w:pPr>
        <w:numPr>
          <w:ilvl w:val="0"/>
          <w:numId w:val="3"/>
        </w:numPr>
        <w:tabs>
          <w:tab w:val="left" w:pos="0"/>
        </w:tabs>
        <w:spacing w:line="240" w:lineRule="auto"/>
        <w:ind w:firstLine="0" w:firstLineChars="0"/>
        <w:rPr>
          <w:rFonts w:cs="Times New Roman"/>
          <w:sz w:val="21"/>
          <w:szCs w:val="21"/>
        </w:rPr>
      </w:pPr>
      <w:bookmarkStart w:id="59" w:name="_Ref6815"/>
      <w:r>
        <w:rPr>
          <w:rFonts w:cs="Times New Roman"/>
          <w:sz w:val="21"/>
          <w:szCs w:val="21"/>
        </w:rPr>
        <w:t>刘薇. 脑血流灌注与白质病变在阿尔茨海默症中的作用[D]. 南京: 南京医科大学, 2025.</w:t>
      </w:r>
      <w:bookmarkEnd w:id="59"/>
    </w:p>
    <w:p w14:paraId="628161E7">
      <w:pPr>
        <w:numPr>
          <w:ilvl w:val="0"/>
          <w:numId w:val="3"/>
        </w:numPr>
        <w:tabs>
          <w:tab w:val="left" w:pos="0"/>
        </w:tabs>
        <w:spacing w:line="240" w:lineRule="auto"/>
        <w:ind w:firstLine="0" w:firstLineChars="0"/>
        <w:rPr>
          <w:rFonts w:cs="Times New Roman"/>
          <w:sz w:val="21"/>
          <w:szCs w:val="21"/>
        </w:rPr>
      </w:pPr>
      <w:bookmarkStart w:id="60" w:name="_Ref6896"/>
      <w:r>
        <w:rPr>
          <w:rFonts w:cs="Times New Roman"/>
          <w:sz w:val="21"/>
          <w:szCs w:val="21"/>
        </w:rPr>
        <w:t>周希蕊, 王静, 李楠. 阿尔茨海默症Tau相关生物标志物研究进展[J]. 中华神经科杂志, 2024, 57(4): 289–295.</w:t>
      </w:r>
      <w:bookmarkEnd w:id="60"/>
    </w:p>
    <w:p w14:paraId="737C5BF9">
      <w:pPr>
        <w:numPr>
          <w:ilvl w:val="0"/>
          <w:numId w:val="3"/>
        </w:numPr>
        <w:tabs>
          <w:tab w:val="left" w:pos="0"/>
        </w:tabs>
        <w:spacing w:line="240" w:lineRule="auto"/>
        <w:ind w:firstLine="0" w:firstLineChars="0"/>
        <w:rPr>
          <w:rFonts w:cs="Times New Roman"/>
          <w:sz w:val="21"/>
          <w:szCs w:val="21"/>
        </w:rPr>
      </w:pPr>
      <w:bookmarkStart w:id="61" w:name="_Ref6939"/>
      <w:r>
        <w:rPr>
          <w:rFonts w:cs="Times New Roman"/>
          <w:sz w:val="21"/>
          <w:szCs w:val="21"/>
        </w:rPr>
        <w:t>刘丹丹, 秦合伟. 阿尔茨海默症中神经元细胞死亡机制研究进展[J]. 中国病理生理杂志, 2025, 41(2): 361–368.</w:t>
      </w:r>
      <w:bookmarkEnd w:id="61"/>
    </w:p>
    <w:p w14:paraId="0BDA735D">
      <w:pPr>
        <w:numPr>
          <w:ilvl w:val="0"/>
          <w:numId w:val="3"/>
        </w:numPr>
        <w:tabs>
          <w:tab w:val="left" w:pos="0"/>
        </w:tabs>
        <w:spacing w:line="240" w:lineRule="auto"/>
        <w:ind w:firstLine="0" w:firstLineChars="0"/>
        <w:rPr>
          <w:rFonts w:cs="Times New Roman"/>
          <w:sz w:val="21"/>
          <w:szCs w:val="21"/>
        </w:rPr>
      </w:pPr>
      <w:bookmarkStart w:id="62" w:name="_Ref7011"/>
      <w:r>
        <w:rPr>
          <w:rFonts w:cs="Times New Roman"/>
          <w:sz w:val="21"/>
          <w:szCs w:val="21"/>
        </w:rPr>
        <w:t>招远祺, 薛长利. 阿尔茨海默病的分子机制与治疗策略[M]. 北京: 科学出版社, 2018.</w:t>
      </w:r>
      <w:bookmarkEnd w:id="62"/>
    </w:p>
    <w:p w14:paraId="3512E949">
      <w:pPr>
        <w:numPr>
          <w:ilvl w:val="0"/>
          <w:numId w:val="3"/>
        </w:numPr>
        <w:tabs>
          <w:tab w:val="left" w:pos="0"/>
        </w:tabs>
        <w:spacing w:line="240" w:lineRule="auto"/>
        <w:ind w:firstLine="0" w:firstLineChars="0"/>
        <w:rPr>
          <w:rFonts w:cs="Times New Roman"/>
          <w:sz w:val="21"/>
          <w:szCs w:val="21"/>
        </w:rPr>
      </w:pPr>
      <w:bookmarkStart w:id="63" w:name="_Ref7132"/>
      <w:r>
        <w:rPr>
          <w:rFonts w:cs="Times New Roman"/>
          <w:sz w:val="21"/>
          <w:szCs w:val="21"/>
        </w:rPr>
        <w:t>Timm T, et al. A FRET-based biosensor reveals dynamic regulation of MARK activity[J]. EMBO Journal, 2011, 30(18): 3671–3683.</w:t>
      </w:r>
      <w:bookmarkEnd w:id="63"/>
    </w:p>
    <w:p w14:paraId="407E7929">
      <w:pPr>
        <w:numPr>
          <w:ilvl w:val="0"/>
          <w:numId w:val="3"/>
        </w:numPr>
        <w:tabs>
          <w:tab w:val="left" w:pos="0"/>
        </w:tabs>
        <w:spacing w:line="240" w:lineRule="auto"/>
        <w:ind w:firstLine="0" w:firstLineChars="0"/>
        <w:rPr>
          <w:rFonts w:cs="Times New Roman"/>
          <w:sz w:val="21"/>
          <w:szCs w:val="21"/>
        </w:rPr>
      </w:pPr>
      <w:bookmarkStart w:id="64" w:name="_Ref7207"/>
      <w:r>
        <w:rPr>
          <w:rFonts w:cs="Times New Roman"/>
          <w:sz w:val="21"/>
          <w:szCs w:val="21"/>
        </w:rPr>
        <w:t>Sloman D L. Discovery of pyrazolopyrimidine MARK inhibitors[J]. Bioorganic &amp; Medicinal Chemistry Letters, 2012, 22(15): 5028–5032.</w:t>
      </w:r>
      <w:bookmarkEnd w:id="64"/>
    </w:p>
    <w:p w14:paraId="55B13A4F">
      <w:pPr>
        <w:numPr>
          <w:ilvl w:val="0"/>
          <w:numId w:val="3"/>
        </w:numPr>
        <w:tabs>
          <w:tab w:val="left" w:pos="0"/>
        </w:tabs>
        <w:spacing w:line="240" w:lineRule="auto"/>
        <w:ind w:firstLine="0" w:firstLineChars="0"/>
        <w:rPr>
          <w:rFonts w:cs="Times New Roman"/>
          <w:sz w:val="21"/>
          <w:szCs w:val="21"/>
        </w:rPr>
      </w:pPr>
      <w:bookmarkStart w:id="65" w:name="_Ref7249"/>
      <w:r>
        <w:rPr>
          <w:rFonts w:cs="Times New Roman"/>
          <w:sz w:val="21"/>
          <w:szCs w:val="21"/>
        </w:rPr>
        <w:t>Sloman D L, et al. Optimization of MARK inhibitors with CNS activity[J]. Journal of Medicinal Chemistry, 2016, 59(4): 1576–1591.</w:t>
      </w:r>
      <w:bookmarkEnd w:id="65"/>
    </w:p>
    <w:p w14:paraId="07D2A02D">
      <w:pPr>
        <w:numPr>
          <w:ilvl w:val="0"/>
          <w:numId w:val="3"/>
        </w:numPr>
        <w:tabs>
          <w:tab w:val="left" w:pos="0"/>
        </w:tabs>
        <w:spacing w:line="240" w:lineRule="auto"/>
        <w:ind w:firstLine="0" w:firstLineChars="0"/>
        <w:rPr>
          <w:rFonts w:cs="Times New Roman"/>
          <w:sz w:val="21"/>
          <w:szCs w:val="21"/>
        </w:rPr>
      </w:pPr>
      <w:bookmarkStart w:id="66" w:name="_Ref7230"/>
      <w:r>
        <w:rPr>
          <w:rFonts w:cs="Times New Roman"/>
          <w:sz w:val="21"/>
          <w:szCs w:val="21"/>
        </w:rPr>
        <w:t>Sack J S, et al. Structural basis for MARK4 inhibition[J]. Structure, 2016, 24(3): 474–483.</w:t>
      </w:r>
      <w:bookmarkEnd w:id="66"/>
    </w:p>
    <w:p w14:paraId="4284B3D3">
      <w:pPr>
        <w:numPr>
          <w:ilvl w:val="0"/>
          <w:numId w:val="3"/>
        </w:numPr>
        <w:tabs>
          <w:tab w:val="left" w:pos="0"/>
        </w:tabs>
        <w:spacing w:line="240" w:lineRule="auto"/>
        <w:ind w:firstLine="0" w:firstLineChars="0"/>
        <w:rPr>
          <w:rFonts w:cs="Times New Roman"/>
          <w:sz w:val="21"/>
          <w:szCs w:val="21"/>
        </w:rPr>
      </w:pPr>
      <w:bookmarkStart w:id="67" w:name="_Ref7396"/>
      <w:r>
        <w:rPr>
          <w:rFonts w:cs="Times New Roman"/>
          <w:sz w:val="21"/>
          <w:szCs w:val="21"/>
        </w:rPr>
        <w:t>Levy A, et al. Selective inhibitors of microtubule affinity-regulating kinases[J]. Molecular Neurodegeneration, 2013, 8(Suppl 1): P28.</w:t>
      </w:r>
      <w:bookmarkEnd w:id="67"/>
    </w:p>
    <w:p w14:paraId="1669FCD5">
      <w:pPr>
        <w:numPr>
          <w:ilvl w:val="0"/>
          <w:numId w:val="3"/>
        </w:numPr>
        <w:tabs>
          <w:tab w:val="left" w:pos="0"/>
        </w:tabs>
        <w:spacing w:line="240" w:lineRule="auto"/>
        <w:ind w:firstLine="0" w:firstLineChars="0"/>
        <w:rPr>
          <w:rFonts w:cs="Times New Roman"/>
          <w:sz w:val="21"/>
          <w:szCs w:val="21"/>
        </w:rPr>
      </w:pPr>
      <w:bookmarkStart w:id="68" w:name="_Ref7455"/>
      <w:r>
        <w:rPr>
          <w:rFonts w:cs="Times New Roman"/>
          <w:sz w:val="21"/>
          <w:szCs w:val="21"/>
        </w:rPr>
        <w:t>Hrubá L, et al. MALDI-TOF MS assay for MARK kinase activity[J]. Analytical Chemistry, 2022, 94(12): 4837–4845.</w:t>
      </w:r>
      <w:bookmarkEnd w:id="68"/>
    </w:p>
    <w:p w14:paraId="0CDF2BA5">
      <w:pPr>
        <w:numPr>
          <w:ilvl w:val="0"/>
          <w:numId w:val="3"/>
        </w:numPr>
        <w:tabs>
          <w:tab w:val="left" w:pos="0"/>
        </w:tabs>
        <w:spacing w:line="240" w:lineRule="auto"/>
        <w:ind w:firstLine="0" w:firstLineChars="0"/>
        <w:rPr>
          <w:rFonts w:cs="Times New Roman"/>
          <w:sz w:val="21"/>
          <w:szCs w:val="21"/>
        </w:rPr>
      </w:pPr>
      <w:bookmarkStart w:id="69" w:name="_Ref7517"/>
      <w:r>
        <w:rPr>
          <w:rFonts w:cs="Times New Roman"/>
          <w:sz w:val="21"/>
          <w:szCs w:val="21"/>
        </w:rPr>
        <w:t>Holub J, et al. Kinase selectivity profiling of small-molecule inhibitors[J]. ChemMedChem, 2018, 13(14): 1461–1470.</w:t>
      </w:r>
      <w:bookmarkEnd w:id="69"/>
    </w:p>
    <w:p w14:paraId="328889A0">
      <w:pPr>
        <w:numPr>
          <w:ilvl w:val="0"/>
          <w:numId w:val="3"/>
        </w:numPr>
        <w:tabs>
          <w:tab w:val="left" w:pos="0"/>
        </w:tabs>
        <w:spacing w:line="240" w:lineRule="auto"/>
        <w:ind w:firstLine="0" w:firstLineChars="0"/>
        <w:rPr>
          <w:rFonts w:cs="Times New Roman"/>
          <w:sz w:val="21"/>
          <w:szCs w:val="21"/>
        </w:rPr>
      </w:pPr>
      <w:bookmarkStart w:id="70" w:name="_Ref7739"/>
      <w:r>
        <w:rPr>
          <w:rFonts w:cs="Times New Roman"/>
          <w:sz w:val="21"/>
          <w:szCs w:val="21"/>
        </w:rPr>
        <w:t>Waseem R, et al. Irisin interacts with MARK4: implications for neurodegeneration[J]. International Journal of Molecular Sciences, 2021, 22(20): 10986.</w:t>
      </w:r>
      <w:bookmarkEnd w:id="70"/>
    </w:p>
    <w:p w14:paraId="7777CCAD">
      <w:pPr>
        <w:numPr>
          <w:ilvl w:val="0"/>
          <w:numId w:val="3"/>
        </w:numPr>
        <w:tabs>
          <w:tab w:val="left" w:pos="0"/>
        </w:tabs>
        <w:spacing w:line="240" w:lineRule="auto"/>
        <w:ind w:firstLine="0" w:firstLineChars="0"/>
        <w:rPr>
          <w:rFonts w:cs="Times New Roman"/>
          <w:sz w:val="21"/>
          <w:szCs w:val="21"/>
        </w:rPr>
      </w:pPr>
      <w:bookmarkStart w:id="71" w:name="_Ref7821"/>
      <w:r>
        <w:rPr>
          <w:rFonts w:cs="Times New Roman"/>
          <w:sz w:val="21"/>
          <w:szCs w:val="21"/>
        </w:rPr>
        <w:t>Hussain A, et al. Harmane as a potent inhibitor of MARK4[J]. Journal of Biomolecular Structure and Dynamics, 2025, 43(1): 1–14.</w:t>
      </w:r>
      <w:bookmarkEnd w:id="71"/>
    </w:p>
    <w:p w14:paraId="7750026D">
      <w:pPr>
        <w:numPr>
          <w:ilvl w:val="0"/>
          <w:numId w:val="3"/>
        </w:numPr>
        <w:tabs>
          <w:tab w:val="left" w:pos="0"/>
        </w:tabs>
        <w:spacing w:line="240" w:lineRule="auto"/>
        <w:ind w:firstLine="0" w:firstLineChars="0"/>
        <w:rPr>
          <w:rFonts w:cs="Times New Roman"/>
          <w:sz w:val="21"/>
          <w:szCs w:val="21"/>
        </w:rPr>
      </w:pPr>
      <w:bookmarkStart w:id="72" w:name="_Ref7905"/>
      <w:r>
        <w:rPr>
          <w:rFonts w:cs="Times New Roman"/>
          <w:sz w:val="21"/>
          <w:szCs w:val="21"/>
        </w:rPr>
        <w:t>Shamsi A, et al. Acetylcholinesterase inhibitors inhibit MARK4[J]. International Journal of Biological Macromolecules, 2020, 164: 2014–2023.</w:t>
      </w:r>
      <w:bookmarkEnd w:id="72"/>
    </w:p>
    <w:p w14:paraId="30B6793D">
      <w:pPr>
        <w:numPr>
          <w:ilvl w:val="0"/>
          <w:numId w:val="3"/>
        </w:numPr>
        <w:tabs>
          <w:tab w:val="left" w:pos="0"/>
        </w:tabs>
        <w:spacing w:line="240" w:lineRule="auto"/>
        <w:ind w:firstLine="0" w:firstLineChars="0"/>
        <w:rPr>
          <w:rFonts w:cs="Times New Roman"/>
          <w:sz w:val="21"/>
          <w:szCs w:val="21"/>
        </w:rPr>
      </w:pPr>
      <w:bookmarkStart w:id="73" w:name="_Ref7974"/>
      <w:r>
        <w:rPr>
          <w:rFonts w:cs="Times New Roman"/>
          <w:sz w:val="21"/>
          <w:szCs w:val="21"/>
        </w:rPr>
        <w:t>Adnan M, et al. Galantamine inhibits MARK4: a multi-target approach[J]. Frontiers in Pharmacology, 2023, 14: 1276179.</w:t>
      </w:r>
      <w:bookmarkEnd w:id="73"/>
    </w:p>
    <w:p w14:paraId="433A54A7">
      <w:pPr>
        <w:numPr>
          <w:ilvl w:val="0"/>
          <w:numId w:val="3"/>
        </w:numPr>
        <w:tabs>
          <w:tab w:val="left" w:pos="0"/>
        </w:tabs>
        <w:spacing w:line="240" w:lineRule="auto"/>
        <w:ind w:firstLine="0" w:firstLineChars="0"/>
        <w:rPr>
          <w:rFonts w:cs="Times New Roman"/>
          <w:sz w:val="21"/>
          <w:szCs w:val="21"/>
        </w:rPr>
      </w:pPr>
      <w:bookmarkStart w:id="74" w:name="_Ref8023"/>
      <w:r>
        <w:rPr>
          <w:rFonts w:cs="Times New Roman"/>
          <w:sz w:val="21"/>
          <w:szCs w:val="21"/>
        </w:rPr>
        <w:t>Sloman D L, et al. Pharmacokinetic considerations in MARK inhibitor design[J]. Journal of Medicinal Chemistry, 2016, 59(12): 5674–5686.</w:t>
      </w:r>
      <w:bookmarkEnd w:id="74"/>
    </w:p>
    <w:p w14:paraId="7045A929">
      <w:pPr>
        <w:numPr>
          <w:ilvl w:val="0"/>
          <w:numId w:val="3"/>
        </w:numPr>
        <w:tabs>
          <w:tab w:val="left" w:pos="0"/>
        </w:tabs>
        <w:spacing w:line="240" w:lineRule="auto"/>
        <w:ind w:firstLine="0" w:firstLineChars="0"/>
        <w:rPr>
          <w:rFonts w:cs="Times New Roman"/>
          <w:sz w:val="21"/>
          <w:szCs w:val="21"/>
        </w:rPr>
      </w:pPr>
      <w:bookmarkStart w:id="75" w:name="_Ref8118"/>
      <w:r>
        <w:rPr>
          <w:rFonts w:cs="Times New Roman"/>
          <w:sz w:val="21"/>
          <w:szCs w:val="21"/>
        </w:rPr>
        <w:t>Sack J S, et al. Conformational plasticity of MARK4 kinase domain[J]. Biochemistry, 2016, 55(28): 3899–3909.</w:t>
      </w:r>
      <w:bookmarkEnd w:id="75"/>
    </w:p>
    <w:p w14:paraId="20DAA2AA">
      <w:pPr>
        <w:numPr>
          <w:ilvl w:val="0"/>
          <w:numId w:val="3"/>
        </w:numPr>
        <w:tabs>
          <w:tab w:val="left" w:pos="0"/>
        </w:tabs>
        <w:spacing w:line="240" w:lineRule="auto"/>
        <w:ind w:firstLine="0" w:firstLineChars="0"/>
        <w:rPr>
          <w:rFonts w:cs="Times New Roman"/>
          <w:sz w:val="21"/>
          <w:szCs w:val="21"/>
        </w:rPr>
      </w:pPr>
      <w:bookmarkStart w:id="76" w:name="_Ref8147"/>
      <w:r>
        <w:rPr>
          <w:rFonts w:cs="Times New Roman"/>
          <w:sz w:val="21"/>
          <w:szCs w:val="21"/>
        </w:rPr>
        <w:t>Hrubá L, et al. High-throughput screening strategies for kinase inhibitors[J]. SLAS Discovery, 2022, 27(6): 514–523.</w:t>
      </w:r>
      <w:bookmarkEnd w:id="76"/>
    </w:p>
    <w:p w14:paraId="40A83970">
      <w:pPr>
        <w:numPr>
          <w:ilvl w:val="0"/>
          <w:numId w:val="3"/>
        </w:numPr>
        <w:tabs>
          <w:tab w:val="left" w:pos="0"/>
        </w:tabs>
        <w:spacing w:line="240" w:lineRule="auto"/>
        <w:ind w:firstLine="0" w:firstLineChars="0"/>
        <w:rPr>
          <w:rFonts w:cs="Times New Roman"/>
          <w:sz w:val="21"/>
          <w:szCs w:val="21"/>
        </w:rPr>
      </w:pPr>
      <w:bookmarkStart w:id="77" w:name="_Ref8199"/>
      <w:r>
        <w:rPr>
          <w:rFonts w:cs="Times New Roman"/>
          <w:sz w:val="21"/>
          <w:szCs w:val="21"/>
        </w:rPr>
        <w:t>Sloman D L, et al. Discovery of MARK inhibitors (ACS Meeting Abstract)[C]// ACS National Meeting Abstracts. Washington DC: ACS, 2012.</w:t>
      </w:r>
      <w:bookmarkEnd w:id="77"/>
    </w:p>
    <w:p w14:paraId="3189F241">
      <w:pPr>
        <w:numPr>
          <w:ilvl w:val="0"/>
          <w:numId w:val="3"/>
        </w:numPr>
        <w:tabs>
          <w:tab w:val="left" w:pos="0"/>
        </w:tabs>
        <w:spacing w:line="240" w:lineRule="auto"/>
        <w:ind w:firstLine="0" w:firstLineChars="0"/>
        <w:rPr>
          <w:rFonts w:cs="Times New Roman"/>
          <w:sz w:val="21"/>
          <w:szCs w:val="21"/>
        </w:rPr>
      </w:pPr>
      <w:bookmarkStart w:id="78" w:name="_Ref8239"/>
      <w:r>
        <w:rPr>
          <w:rFonts w:cs="Times New Roman"/>
          <w:sz w:val="21"/>
          <w:szCs w:val="21"/>
        </w:rPr>
        <w:t>Dewulf J, et al. Targeted kinase modulation combined with advanced delivery strategies[J]. Advanced Drug Delivery Reviews, 2025, 201: 114107.</w:t>
      </w:r>
      <w:bookmarkEnd w:id="78"/>
    </w:p>
    <w:p w14:paraId="08E8C833">
      <w:pPr>
        <w:pStyle w:val="2"/>
        <w:ind w:firstLine="600"/>
        <w:jc w:val="center"/>
      </w:pPr>
      <w:r>
        <w:rPr>
          <w:rFonts w:eastAsia="宋体"/>
          <w:sz w:val="21"/>
          <w:szCs w:val="21"/>
        </w:rPr>
        <w:br w:type="page"/>
      </w:r>
      <w:bookmarkStart w:id="79" w:name="_Toc16027"/>
      <w:bookmarkStart w:id="80" w:name="_Toc19479"/>
      <w:r>
        <w:rPr>
          <w:rFonts w:hint="eastAsia"/>
        </w:rPr>
        <w:t>致  谢</w:t>
      </w:r>
      <w:bookmarkEnd w:id="79"/>
    </w:p>
    <w:p w14:paraId="02DB78D3">
      <w:pPr>
        <w:keepNext w:val="0"/>
        <w:keepLines w:val="0"/>
        <w:pageBreakBefore w:val="0"/>
        <w:widowControl w:val="0"/>
        <w:kinsoku/>
        <w:wordWrap/>
        <w:overflowPunct/>
        <w:topLinePunct w:val="0"/>
        <w:autoSpaceDE/>
        <w:autoSpaceDN/>
        <w:bidi w:val="0"/>
        <w:adjustRightInd/>
        <w:snapToGrid/>
        <w:ind w:firstLine="480"/>
        <w:textAlignment w:val="auto"/>
      </w:pPr>
      <w:r>
        <w:rPr>
          <w:rFonts w:hint="eastAsia"/>
        </w:rPr>
        <w:t>行文至此，百感交集。提笔敲下“致谢”二字时，我的论文也到了终章，它同时意味着我的求学之路也即将到达终点，我曾无数次在心中演练这一瞬间，但真正坐在位置上时还是有些无从下手。或许是因为一路走来有太多太多给与我帮助的人，需要诉说的感谢数不胜数。</w:t>
      </w:r>
      <w:r>
        <w:rPr>
          <w:rFonts w:hint="eastAsia"/>
        </w:rPr>
        <w:cr/>
      </w:r>
      <w:r>
        <w:rPr>
          <w:rFonts w:hint="eastAsia"/>
          <w:lang w:val="en-US" w:eastAsia="zh-CN"/>
        </w:rPr>
        <w:t xml:space="preserve">    </w:t>
      </w:r>
      <w:r>
        <w:rPr>
          <w:rFonts w:hint="eastAsia"/>
        </w:rPr>
        <w:t>首先，我要致谢我最亲爱的家人。2026年盛夏，我迎来了我的二十三岁，回望我的成长之路，父母似乎从未缺席。一路走来，他们给予我无条件的尊重与支持，相信我的每一次选择，尊重我的每一次试错。成长路上的每一个岔路口，他们都用坚定的眼神告诉我“大胆去做，一切有他们陪我一起承担”，幸而我也从未犯过什么大错。我由衷的感谢我的父母，向他们当面表达爱意似乎并不容易，好在可以在这里将它一一诉说。</w:t>
      </w:r>
      <w:r>
        <w:rPr>
          <w:rFonts w:hint="eastAsia"/>
        </w:rPr>
        <w:cr/>
      </w:r>
      <w:r>
        <w:rPr>
          <w:rFonts w:hint="eastAsia"/>
          <w:lang w:val="en-US" w:eastAsia="zh-CN"/>
        </w:rPr>
        <w:t xml:space="preserve">    </w:t>
      </w:r>
      <w:r>
        <w:rPr>
          <w:rFonts w:hint="eastAsia"/>
        </w:rPr>
        <w:t>其次，我要诚挚地感谢我的导师郝永佳老师。从进入实验室学习实验规范操作开始，郝老师总是亲身示范，细心教导我的每一步实验，再到论文选题，以及每一阶段的论文修改与完善，他总是耐心指导，为我提供了宝贵建议。论文的每一个环节都离不开他的帮助。同时，感谢我在大学生涯中所遇到的所有帮助过、鼓励过我的老师，桃李不言，下自成蹊。衷心地祝愿所有老师工作顺利，事业有成，桃李满天下！</w:t>
      </w:r>
    </w:p>
    <w:p w14:paraId="6B786685">
      <w:pPr>
        <w:ind w:firstLine="480"/>
        <w:rPr>
          <w:rFonts w:hint="eastAsia"/>
        </w:rPr>
      </w:pPr>
      <w:r>
        <w:rPr>
          <w:rFonts w:hint="eastAsia"/>
        </w:rPr>
        <w:t>言至于此，我想我也应该对自己道一声感谢，感谢自己在大学四年时光里没有浪费自己的青春年华，感谢四年来所获得的成就、所面对的遗憾不甘，感谢自己愿意坦然接受自己的平庸与不完美，也感谢自己的执着与勇气。未来的路很长，也不会一直平坦，愿我能带着这几年积累的勇气和耐心，一直坚定地走下去。或许我们不知道明天和意外谁先来临，但过好当下每一天便是最优解。</w:t>
      </w:r>
    </w:p>
    <w:p w14:paraId="402E1621">
      <w:pPr>
        <w:ind w:firstLine="480"/>
        <w:rPr>
          <w:rFonts w:hint="eastAsia" w:ascii="Times New Roman" w:hAnsi="Times New Roman" w:eastAsia="宋体" w:cstheme="minorBidi"/>
          <w:b w:val="0"/>
          <w:bCs w:val="0"/>
          <w:kern w:val="2"/>
          <w:sz w:val="24"/>
          <w:szCs w:val="24"/>
          <w:lang w:val="en-US" w:eastAsia="zh-CN" w:bidi="ar-SA"/>
        </w:rPr>
      </w:pPr>
      <w:r>
        <w:rPr>
          <w:rFonts w:hint="eastAsia" w:ascii="Times New Roman" w:hAnsi="Times New Roman" w:eastAsia="宋体" w:cstheme="minorBidi"/>
          <w:b w:val="0"/>
          <w:bCs w:val="0"/>
          <w:kern w:val="2"/>
          <w:sz w:val="24"/>
          <w:szCs w:val="24"/>
          <w:lang w:val="en-US" w:eastAsia="zh-CN" w:bidi="ar-SA"/>
        </w:rPr>
        <w:t>论文会结束，但是成长不会，在接下来的日子里，我会勇敢前行！</w:t>
      </w:r>
      <w:bookmarkEnd w:id="80"/>
    </w:p>
    <w:p w14:paraId="2683A395">
      <w:pPr>
        <w:ind w:firstLine="480"/>
        <w:rPr>
          <w:rFonts w:hint="eastAsia" w:ascii="Times New Roman" w:hAnsi="Times New Roman" w:eastAsia="宋体" w:cstheme="minorBidi"/>
          <w:b w:val="0"/>
          <w:bCs w:val="0"/>
          <w:kern w:val="2"/>
          <w:sz w:val="24"/>
          <w:szCs w:val="24"/>
          <w:lang w:val="en-US" w:eastAsia="zh-CN" w:bidi="ar-SA"/>
        </w:rPr>
      </w:pPr>
    </w:p>
    <w:p w14:paraId="2D5416FF">
      <w:pPr>
        <w:ind w:firstLine="480"/>
        <w:rPr>
          <w:rFonts w:hint="eastAsia" w:ascii="Times New Roman" w:hAnsi="Times New Roman" w:eastAsia="宋体" w:cstheme="minorBidi"/>
          <w:b w:val="0"/>
          <w:bCs w:val="0"/>
          <w:kern w:val="2"/>
          <w:sz w:val="24"/>
          <w:szCs w:val="24"/>
          <w:lang w:val="en-US" w:eastAsia="zh-CN" w:bidi="ar-SA"/>
        </w:rPr>
      </w:pPr>
    </w:p>
    <w:p w14:paraId="49D3A5C1">
      <w:pPr>
        <w:ind w:firstLine="480"/>
        <w:rPr>
          <w:rFonts w:hint="eastAsia" w:ascii="Times New Roman" w:hAnsi="Times New Roman" w:eastAsia="宋体" w:cstheme="minorBidi"/>
          <w:b w:val="0"/>
          <w:bCs w:val="0"/>
          <w:kern w:val="2"/>
          <w:sz w:val="24"/>
          <w:szCs w:val="24"/>
          <w:lang w:val="en-US" w:eastAsia="zh-CN" w:bidi="ar-SA"/>
        </w:rPr>
      </w:pPr>
    </w:p>
    <w:p w14:paraId="282BAE88">
      <w:pPr>
        <w:ind w:left="0" w:leftChars="0" w:firstLine="0" w:firstLineChars="0"/>
        <w:rPr>
          <w:rFonts w:hint="eastAsia" w:ascii="Times New Roman" w:hAnsi="Times New Roman" w:eastAsia="宋体" w:cstheme="minorBidi"/>
          <w:b w:val="0"/>
          <w:bCs w:val="0"/>
          <w:kern w:val="2"/>
          <w:sz w:val="24"/>
          <w:szCs w:val="24"/>
          <w:lang w:val="en-US" w:eastAsia="zh-CN" w:bidi="ar-SA"/>
        </w:rPr>
      </w:pPr>
    </w:p>
    <w:p w14:paraId="71A90298">
      <w:pPr>
        <w:pStyle w:val="2"/>
        <w:bidi w:val="0"/>
        <w:jc w:val="center"/>
        <w:rPr>
          <w:rFonts w:hint="default"/>
          <w:lang w:val="en-US"/>
        </w:rPr>
      </w:pPr>
      <w:bookmarkStart w:id="81" w:name="_Toc4770"/>
      <w:r>
        <w:rPr>
          <w:rFonts w:hint="eastAsia"/>
          <w:lang w:val="en-US" w:eastAsia="zh-CN"/>
        </w:rPr>
        <w:t>附 图</w:t>
      </w:r>
      <w:bookmarkEnd w:id="81"/>
    </w:p>
    <w:p w14:paraId="381A58F9">
      <w:pPr>
        <w:ind w:firstLine="480"/>
      </w:pPr>
      <w:r>
        <w:drawing>
          <wp:inline distT="0" distB="0" distL="114300" distR="114300">
            <wp:extent cx="5267325" cy="3679190"/>
            <wp:effectExtent l="0" t="0" r="3175" b="381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60"/>
                    <a:stretch>
                      <a:fillRect/>
                    </a:stretch>
                  </pic:blipFill>
                  <pic:spPr>
                    <a:xfrm>
                      <a:off x="0" y="0"/>
                      <a:ext cx="5267325" cy="3679190"/>
                    </a:xfrm>
                    <a:prstGeom prst="rect">
                      <a:avLst/>
                    </a:prstGeom>
                    <a:noFill/>
                    <a:ln>
                      <a:noFill/>
                    </a:ln>
                  </pic:spPr>
                </pic:pic>
              </a:graphicData>
            </a:graphic>
          </wp:inline>
        </w:drawing>
      </w:r>
    </w:p>
    <w:p w14:paraId="088F9D13">
      <w:pPr>
        <w:pStyle w:val="7"/>
        <w:ind w:firstLine="420"/>
        <w:jc w:val="center"/>
        <w:rPr>
          <w:rFonts w:ascii="Times New Roman" w:hAnsi="Times New Roman" w:cs="Times New Roman"/>
          <w:sz w:val="21"/>
          <w:szCs w:val="21"/>
        </w:rPr>
      </w:pPr>
      <w:r>
        <w:rPr>
          <w:rFonts w:ascii="Times New Roman" w:hAnsi="Times New Roman" w:cs="Times New Roman"/>
          <w:sz w:val="21"/>
          <w:szCs w:val="21"/>
        </w:rPr>
        <w:t xml:space="preserve">附图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附图 \* ARABIC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中间体I的核磁氢谱图</w:t>
      </w:r>
    </w:p>
    <w:p w14:paraId="366C6776">
      <w:pPr>
        <w:keepNext/>
        <w:ind w:firstLine="480"/>
      </w:pPr>
      <w:r>
        <w:drawing>
          <wp:inline distT="0" distB="0" distL="114300" distR="114300">
            <wp:extent cx="5274945" cy="3679190"/>
            <wp:effectExtent l="0" t="0" r="8255" b="381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61"/>
                    <a:stretch>
                      <a:fillRect/>
                    </a:stretch>
                  </pic:blipFill>
                  <pic:spPr>
                    <a:xfrm>
                      <a:off x="0" y="0"/>
                      <a:ext cx="5274945" cy="3679190"/>
                    </a:xfrm>
                    <a:prstGeom prst="rect">
                      <a:avLst/>
                    </a:prstGeom>
                    <a:noFill/>
                    <a:ln>
                      <a:noFill/>
                    </a:ln>
                  </pic:spPr>
                </pic:pic>
              </a:graphicData>
            </a:graphic>
          </wp:inline>
        </w:drawing>
      </w:r>
    </w:p>
    <w:p w14:paraId="1F5B5246">
      <w:pPr>
        <w:pStyle w:val="7"/>
        <w:ind w:firstLine="420"/>
        <w:jc w:val="center"/>
        <w:rPr>
          <w:rFonts w:ascii="Times New Roman" w:hAnsi="Times New Roman" w:cs="Times New Roman"/>
          <w:b/>
          <w:bCs/>
          <w:sz w:val="21"/>
        </w:rPr>
      </w:pPr>
      <w:r>
        <w:rPr>
          <w:rFonts w:ascii="Times New Roman" w:hAnsi="Times New Roman" w:cs="Times New Roman"/>
          <w:sz w:val="21"/>
        </w:rPr>
        <w:t xml:space="preserve">附图 </w:t>
      </w:r>
      <w:r>
        <w:rPr>
          <w:rFonts w:ascii="Times New Roman" w:hAnsi="Times New Roman" w:cs="Times New Roman"/>
          <w:sz w:val="21"/>
        </w:rPr>
        <w:fldChar w:fldCharType="begin"/>
      </w:r>
      <w:r>
        <w:rPr>
          <w:rFonts w:ascii="Times New Roman" w:hAnsi="Times New Roman" w:cs="Times New Roman"/>
          <w:sz w:val="21"/>
        </w:rPr>
        <w:instrText xml:space="preserve"> SEQ 附图 \* ARABIC </w:instrText>
      </w:r>
      <w:r>
        <w:rPr>
          <w:rFonts w:ascii="Times New Roman" w:hAnsi="Times New Roman" w:cs="Times New Roman"/>
          <w:sz w:val="21"/>
        </w:rPr>
        <w:fldChar w:fldCharType="separate"/>
      </w:r>
      <w:r>
        <w:rPr>
          <w:rFonts w:ascii="Times New Roman" w:hAnsi="Times New Roman" w:cs="Times New Roman"/>
          <w:sz w:val="21"/>
        </w:rPr>
        <w:t>2</w:t>
      </w:r>
      <w:r>
        <w:rPr>
          <w:rFonts w:ascii="Times New Roman" w:hAnsi="Times New Roman" w:cs="Times New Roman"/>
          <w:sz w:val="21"/>
        </w:rPr>
        <w:fldChar w:fldCharType="end"/>
      </w:r>
      <w:r>
        <w:rPr>
          <w:rFonts w:ascii="Times New Roman" w:hAnsi="Times New Roman" w:cs="Times New Roman"/>
          <w:sz w:val="21"/>
        </w:rPr>
        <w:t>中间体I的核磁氢谱图</w:t>
      </w:r>
    </w:p>
    <w:p w14:paraId="4DE30A33">
      <w:pPr>
        <w:ind w:firstLine="480"/>
      </w:pPr>
      <w:r>
        <w:drawing>
          <wp:inline distT="0" distB="0" distL="114300" distR="114300">
            <wp:extent cx="5273675" cy="3671570"/>
            <wp:effectExtent l="0" t="0" r="9525" b="1143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62"/>
                    <a:stretch>
                      <a:fillRect/>
                    </a:stretch>
                  </pic:blipFill>
                  <pic:spPr>
                    <a:xfrm>
                      <a:off x="0" y="0"/>
                      <a:ext cx="5273675" cy="3671570"/>
                    </a:xfrm>
                    <a:prstGeom prst="rect">
                      <a:avLst/>
                    </a:prstGeom>
                    <a:noFill/>
                    <a:ln>
                      <a:noFill/>
                    </a:ln>
                  </pic:spPr>
                </pic:pic>
              </a:graphicData>
            </a:graphic>
          </wp:inline>
        </w:drawing>
      </w:r>
    </w:p>
    <w:p w14:paraId="67040A96">
      <w:pPr>
        <w:pStyle w:val="7"/>
        <w:ind w:firstLine="420"/>
        <w:jc w:val="center"/>
        <w:rPr>
          <w:rFonts w:ascii="Times New Roman" w:hAnsi="Times New Roman" w:cs="Times New Roman"/>
          <w:sz w:val="21"/>
        </w:rPr>
      </w:pPr>
      <w:r>
        <w:rPr>
          <w:rFonts w:hint="eastAsia" w:ascii="Times New Roman" w:hAnsi="Times New Roman" w:cs="Times New Roman"/>
          <w:sz w:val="21"/>
        </w:rPr>
        <w:t xml:space="preserve">附图 </w:t>
      </w:r>
      <w:r>
        <w:rPr>
          <w:rFonts w:ascii="Times New Roman" w:hAnsi="Times New Roman" w:cs="Times New Roman"/>
          <w:sz w:val="21"/>
        </w:rPr>
        <w:fldChar w:fldCharType="begin"/>
      </w:r>
      <w:r>
        <w:rPr>
          <w:rFonts w:ascii="Times New Roman" w:hAnsi="Times New Roman" w:cs="Times New Roman"/>
          <w:sz w:val="21"/>
        </w:rPr>
        <w:instrText xml:space="preserve"> </w:instrText>
      </w:r>
      <w:r>
        <w:rPr>
          <w:rFonts w:hint="eastAsia" w:ascii="Times New Roman" w:hAnsi="Times New Roman" w:cs="Times New Roman"/>
          <w:sz w:val="21"/>
        </w:rPr>
        <w:instrText xml:space="preserve">SEQ 附图 \* ARABIC</w:instrText>
      </w:r>
      <w:r>
        <w:rPr>
          <w:rFonts w:ascii="Times New Roman" w:hAnsi="Times New Roman" w:cs="Times New Roman"/>
          <w:sz w:val="21"/>
        </w:rPr>
        <w:instrText xml:space="preserve"> </w:instrText>
      </w:r>
      <w:r>
        <w:rPr>
          <w:rFonts w:ascii="Times New Roman" w:hAnsi="Times New Roman" w:cs="Times New Roman"/>
          <w:sz w:val="21"/>
        </w:rPr>
        <w:fldChar w:fldCharType="separate"/>
      </w:r>
      <w:r>
        <w:rPr>
          <w:rFonts w:hint="eastAsia" w:ascii="Times New Roman" w:hAnsi="Times New Roman" w:cs="Times New Roman"/>
          <w:sz w:val="21"/>
        </w:rPr>
        <w:t>3</w:t>
      </w:r>
      <w:r>
        <w:rPr>
          <w:rFonts w:ascii="Times New Roman" w:hAnsi="Times New Roman" w:cs="Times New Roman"/>
          <w:sz w:val="21"/>
        </w:rPr>
        <w:fldChar w:fldCharType="end"/>
      </w:r>
      <w:r>
        <w:rPr>
          <w:rFonts w:ascii="Times New Roman" w:hAnsi="Times New Roman" w:cs="Times New Roman"/>
          <w:sz w:val="21"/>
        </w:rPr>
        <w:t>目标产物2的核磁氢谱图</w:t>
      </w:r>
    </w:p>
    <w:p w14:paraId="1F2BEF04">
      <w:pPr>
        <w:ind w:firstLine="480"/>
      </w:pPr>
      <w:r>
        <w:drawing>
          <wp:inline distT="0" distB="0" distL="114300" distR="114300">
            <wp:extent cx="5264150" cy="3682365"/>
            <wp:effectExtent l="0" t="0" r="6350" b="6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63"/>
                    <a:stretch>
                      <a:fillRect/>
                    </a:stretch>
                  </pic:blipFill>
                  <pic:spPr>
                    <a:xfrm>
                      <a:off x="0" y="0"/>
                      <a:ext cx="5264150" cy="3682365"/>
                    </a:xfrm>
                    <a:prstGeom prst="rect">
                      <a:avLst/>
                    </a:prstGeom>
                    <a:noFill/>
                    <a:ln>
                      <a:noFill/>
                    </a:ln>
                  </pic:spPr>
                </pic:pic>
              </a:graphicData>
            </a:graphic>
          </wp:inline>
        </w:drawing>
      </w:r>
    </w:p>
    <w:p w14:paraId="123967C5">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4</w:t>
      </w:r>
      <w:r>
        <w:rPr>
          <w:rFonts w:ascii="Times New Roman" w:hAnsi="Times New Roman"/>
          <w:sz w:val="21"/>
        </w:rPr>
        <w:fldChar w:fldCharType="end"/>
      </w:r>
      <w:r>
        <w:rPr>
          <w:rFonts w:ascii="Times New Roman" w:hAnsi="Times New Roman"/>
          <w:sz w:val="21"/>
        </w:rPr>
        <w:t>目标产物3的核磁氢谱图</w:t>
      </w:r>
    </w:p>
    <w:p w14:paraId="46EA6BB2">
      <w:pPr>
        <w:ind w:firstLine="480"/>
      </w:pPr>
      <w:r>
        <w:drawing>
          <wp:inline distT="0" distB="0" distL="114300" distR="114300">
            <wp:extent cx="5271770" cy="3669030"/>
            <wp:effectExtent l="0" t="0" r="11430" b="127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64"/>
                    <a:stretch>
                      <a:fillRect/>
                    </a:stretch>
                  </pic:blipFill>
                  <pic:spPr>
                    <a:xfrm>
                      <a:off x="0" y="0"/>
                      <a:ext cx="5271770" cy="3669030"/>
                    </a:xfrm>
                    <a:prstGeom prst="rect">
                      <a:avLst/>
                    </a:prstGeom>
                    <a:noFill/>
                    <a:ln>
                      <a:noFill/>
                    </a:ln>
                  </pic:spPr>
                </pic:pic>
              </a:graphicData>
            </a:graphic>
          </wp:inline>
        </w:drawing>
      </w:r>
    </w:p>
    <w:p w14:paraId="68ED75BE">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5</w:t>
      </w:r>
      <w:r>
        <w:rPr>
          <w:rFonts w:ascii="Times New Roman" w:hAnsi="Times New Roman"/>
          <w:sz w:val="21"/>
        </w:rPr>
        <w:fldChar w:fldCharType="end"/>
      </w:r>
      <w:r>
        <w:rPr>
          <w:rFonts w:ascii="Times New Roman" w:hAnsi="Times New Roman"/>
          <w:sz w:val="21"/>
        </w:rPr>
        <w:t>目标产物4的核磁氢谱图</w:t>
      </w:r>
    </w:p>
    <w:p w14:paraId="24511C91">
      <w:pPr>
        <w:ind w:firstLine="480"/>
      </w:pPr>
      <w:r>
        <w:drawing>
          <wp:inline distT="0" distB="0" distL="114300" distR="114300">
            <wp:extent cx="5273040" cy="3703320"/>
            <wp:effectExtent l="0" t="0" r="10160" b="508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65"/>
                    <a:stretch>
                      <a:fillRect/>
                    </a:stretch>
                  </pic:blipFill>
                  <pic:spPr>
                    <a:xfrm>
                      <a:off x="0" y="0"/>
                      <a:ext cx="5273040" cy="3703320"/>
                    </a:xfrm>
                    <a:prstGeom prst="rect">
                      <a:avLst/>
                    </a:prstGeom>
                    <a:noFill/>
                    <a:ln>
                      <a:noFill/>
                    </a:ln>
                  </pic:spPr>
                </pic:pic>
              </a:graphicData>
            </a:graphic>
          </wp:inline>
        </w:drawing>
      </w:r>
    </w:p>
    <w:p w14:paraId="5FE48DB4">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6</w:t>
      </w:r>
      <w:r>
        <w:rPr>
          <w:rFonts w:ascii="Times New Roman" w:hAnsi="Times New Roman"/>
          <w:sz w:val="21"/>
        </w:rPr>
        <w:fldChar w:fldCharType="end"/>
      </w:r>
      <w:r>
        <w:rPr>
          <w:rFonts w:ascii="Times New Roman" w:hAnsi="Times New Roman"/>
          <w:sz w:val="21"/>
        </w:rPr>
        <w:t>目标产物4的核磁氢谱图</w:t>
      </w:r>
    </w:p>
    <w:p w14:paraId="043EE701">
      <w:pPr>
        <w:ind w:firstLine="480"/>
      </w:pPr>
      <w:r>
        <w:drawing>
          <wp:inline distT="0" distB="0" distL="114300" distR="114300">
            <wp:extent cx="5261610" cy="3655695"/>
            <wp:effectExtent l="0" t="0" r="8890" b="190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66"/>
                    <a:stretch>
                      <a:fillRect/>
                    </a:stretch>
                  </pic:blipFill>
                  <pic:spPr>
                    <a:xfrm>
                      <a:off x="0" y="0"/>
                      <a:ext cx="5261610" cy="3655695"/>
                    </a:xfrm>
                    <a:prstGeom prst="rect">
                      <a:avLst/>
                    </a:prstGeom>
                    <a:noFill/>
                    <a:ln>
                      <a:noFill/>
                    </a:ln>
                  </pic:spPr>
                </pic:pic>
              </a:graphicData>
            </a:graphic>
          </wp:inline>
        </w:drawing>
      </w:r>
    </w:p>
    <w:p w14:paraId="2AD682C0">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7</w:t>
      </w:r>
      <w:r>
        <w:rPr>
          <w:rFonts w:ascii="Times New Roman" w:hAnsi="Times New Roman"/>
          <w:sz w:val="21"/>
        </w:rPr>
        <w:fldChar w:fldCharType="end"/>
      </w:r>
      <w:r>
        <w:rPr>
          <w:rFonts w:ascii="Times New Roman" w:hAnsi="Times New Roman"/>
          <w:sz w:val="21"/>
        </w:rPr>
        <w:t>目标产物6的核磁氢谱图</w:t>
      </w:r>
    </w:p>
    <w:p w14:paraId="0083A156">
      <w:pPr>
        <w:ind w:firstLine="480"/>
      </w:pPr>
      <w:r>
        <w:drawing>
          <wp:inline distT="0" distB="0" distL="114300" distR="114300">
            <wp:extent cx="5271770" cy="3720465"/>
            <wp:effectExtent l="0" t="0" r="11430" b="63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67"/>
                    <a:stretch>
                      <a:fillRect/>
                    </a:stretch>
                  </pic:blipFill>
                  <pic:spPr>
                    <a:xfrm>
                      <a:off x="0" y="0"/>
                      <a:ext cx="5271770" cy="3720465"/>
                    </a:xfrm>
                    <a:prstGeom prst="rect">
                      <a:avLst/>
                    </a:prstGeom>
                    <a:noFill/>
                    <a:ln>
                      <a:noFill/>
                    </a:ln>
                  </pic:spPr>
                </pic:pic>
              </a:graphicData>
            </a:graphic>
          </wp:inline>
        </w:drawing>
      </w:r>
    </w:p>
    <w:p w14:paraId="5BBE5187">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8</w:t>
      </w:r>
      <w:r>
        <w:rPr>
          <w:rFonts w:ascii="Times New Roman" w:hAnsi="Times New Roman"/>
          <w:sz w:val="21"/>
        </w:rPr>
        <w:fldChar w:fldCharType="end"/>
      </w:r>
      <w:r>
        <w:rPr>
          <w:rFonts w:ascii="Times New Roman" w:hAnsi="Times New Roman"/>
          <w:sz w:val="21"/>
        </w:rPr>
        <w:t>目标产物7的核磁氢谱图</w:t>
      </w:r>
    </w:p>
    <w:p w14:paraId="514E9701">
      <w:pPr>
        <w:keepNext/>
        <w:ind w:left="480" w:firstLine="0" w:firstLineChars="0"/>
      </w:pPr>
      <w:r>
        <w:drawing>
          <wp:inline distT="0" distB="0" distL="114300" distR="114300">
            <wp:extent cx="5266055" cy="3669030"/>
            <wp:effectExtent l="0" t="0" r="4445" b="127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68"/>
                    <a:stretch>
                      <a:fillRect/>
                    </a:stretch>
                  </pic:blipFill>
                  <pic:spPr>
                    <a:xfrm>
                      <a:off x="0" y="0"/>
                      <a:ext cx="5266055" cy="3669030"/>
                    </a:xfrm>
                    <a:prstGeom prst="rect">
                      <a:avLst/>
                    </a:prstGeom>
                    <a:noFill/>
                    <a:ln>
                      <a:noFill/>
                    </a:ln>
                  </pic:spPr>
                </pic:pic>
              </a:graphicData>
            </a:graphic>
          </wp:inline>
        </w:drawing>
      </w:r>
    </w:p>
    <w:p w14:paraId="227D6C8B">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9</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8</w:t>
      </w:r>
      <w:r>
        <w:rPr>
          <w:rFonts w:ascii="Times New Roman" w:hAnsi="Times New Roman"/>
          <w:sz w:val="21"/>
        </w:rPr>
        <w:t>的核磁氢谱图</w:t>
      </w:r>
    </w:p>
    <w:p w14:paraId="7D8EE4DD">
      <w:pPr>
        <w:keepNext/>
        <w:ind w:left="480" w:firstLine="0" w:firstLineChars="0"/>
      </w:pPr>
      <w:r>
        <w:drawing>
          <wp:inline distT="0" distB="0" distL="114300" distR="114300">
            <wp:extent cx="5268595" cy="3672205"/>
            <wp:effectExtent l="0" t="0" r="1905" b="1079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69"/>
                    <a:stretch>
                      <a:fillRect/>
                    </a:stretch>
                  </pic:blipFill>
                  <pic:spPr>
                    <a:xfrm>
                      <a:off x="0" y="0"/>
                      <a:ext cx="5268595" cy="3672205"/>
                    </a:xfrm>
                    <a:prstGeom prst="rect">
                      <a:avLst/>
                    </a:prstGeom>
                    <a:noFill/>
                    <a:ln>
                      <a:noFill/>
                    </a:ln>
                  </pic:spPr>
                </pic:pic>
              </a:graphicData>
            </a:graphic>
          </wp:inline>
        </w:drawing>
      </w:r>
    </w:p>
    <w:p w14:paraId="499C7C66">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10</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9</w:t>
      </w:r>
      <w:r>
        <w:rPr>
          <w:rFonts w:ascii="Times New Roman" w:hAnsi="Times New Roman"/>
          <w:sz w:val="21"/>
        </w:rPr>
        <w:t>的核磁氢谱图</w:t>
      </w:r>
    </w:p>
    <w:p w14:paraId="7AC4071A">
      <w:pPr>
        <w:keepNext/>
        <w:ind w:left="480" w:firstLine="0" w:firstLineChars="0"/>
      </w:pPr>
      <w:r>
        <w:drawing>
          <wp:inline distT="0" distB="0" distL="114300" distR="114300">
            <wp:extent cx="5270500" cy="3655060"/>
            <wp:effectExtent l="0" t="0" r="0" b="254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70"/>
                    <a:stretch>
                      <a:fillRect/>
                    </a:stretch>
                  </pic:blipFill>
                  <pic:spPr>
                    <a:xfrm>
                      <a:off x="0" y="0"/>
                      <a:ext cx="5270500" cy="3655060"/>
                    </a:xfrm>
                    <a:prstGeom prst="rect">
                      <a:avLst/>
                    </a:prstGeom>
                    <a:noFill/>
                    <a:ln>
                      <a:noFill/>
                    </a:ln>
                  </pic:spPr>
                </pic:pic>
              </a:graphicData>
            </a:graphic>
          </wp:inline>
        </w:drawing>
      </w:r>
    </w:p>
    <w:p w14:paraId="30E9B7D1">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11</w:t>
      </w:r>
      <w:r>
        <w:rPr>
          <w:rFonts w:ascii="Times New Roman" w:hAnsi="Times New Roman"/>
          <w:sz w:val="21"/>
        </w:rPr>
        <w:fldChar w:fldCharType="end"/>
      </w:r>
      <w:r>
        <w:rPr>
          <w:rFonts w:ascii="Times New Roman" w:hAnsi="Times New Roman"/>
          <w:sz w:val="21"/>
        </w:rPr>
        <w:t>中间体I的核磁碳谱图</w:t>
      </w:r>
    </w:p>
    <w:p w14:paraId="76D0AA9E">
      <w:pPr>
        <w:keepNext/>
        <w:ind w:left="480" w:firstLine="0" w:firstLineChars="0"/>
      </w:pPr>
      <w:r>
        <w:drawing>
          <wp:inline distT="0" distB="0" distL="114300" distR="114300">
            <wp:extent cx="5264150" cy="3679190"/>
            <wp:effectExtent l="0" t="0" r="6350" b="381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71"/>
                    <a:stretch>
                      <a:fillRect/>
                    </a:stretch>
                  </pic:blipFill>
                  <pic:spPr>
                    <a:xfrm>
                      <a:off x="0" y="0"/>
                      <a:ext cx="5264150" cy="3679190"/>
                    </a:xfrm>
                    <a:prstGeom prst="rect">
                      <a:avLst/>
                    </a:prstGeom>
                    <a:noFill/>
                    <a:ln>
                      <a:noFill/>
                    </a:ln>
                  </pic:spPr>
                </pic:pic>
              </a:graphicData>
            </a:graphic>
          </wp:inline>
        </w:drawing>
      </w:r>
    </w:p>
    <w:p w14:paraId="22A343E5">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12</w:t>
      </w:r>
      <w:r>
        <w:rPr>
          <w:rFonts w:ascii="Times New Roman" w:hAnsi="Times New Roman"/>
          <w:sz w:val="21"/>
        </w:rPr>
        <w:fldChar w:fldCharType="end"/>
      </w:r>
      <w:r>
        <w:rPr>
          <w:rFonts w:ascii="Times New Roman" w:hAnsi="Times New Roman"/>
          <w:sz w:val="21"/>
        </w:rPr>
        <w:t>目标产物1的核磁碳谱图</w:t>
      </w:r>
    </w:p>
    <w:p w14:paraId="2DF2E856">
      <w:pPr>
        <w:keepNext/>
        <w:ind w:left="480" w:firstLine="0" w:firstLineChars="0"/>
      </w:pPr>
      <w:r>
        <w:drawing>
          <wp:inline distT="0" distB="0" distL="114300" distR="114300">
            <wp:extent cx="5274310" cy="3669030"/>
            <wp:effectExtent l="0" t="0" r="8890" b="127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72"/>
                    <a:stretch>
                      <a:fillRect/>
                    </a:stretch>
                  </pic:blipFill>
                  <pic:spPr>
                    <a:xfrm>
                      <a:off x="0" y="0"/>
                      <a:ext cx="5274310" cy="3669030"/>
                    </a:xfrm>
                    <a:prstGeom prst="rect">
                      <a:avLst/>
                    </a:prstGeom>
                    <a:noFill/>
                    <a:ln>
                      <a:noFill/>
                    </a:ln>
                  </pic:spPr>
                </pic:pic>
              </a:graphicData>
            </a:graphic>
          </wp:inline>
        </w:drawing>
      </w:r>
    </w:p>
    <w:p w14:paraId="25D8F958">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13</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2</w:t>
      </w:r>
      <w:r>
        <w:rPr>
          <w:rFonts w:ascii="Times New Roman" w:hAnsi="Times New Roman"/>
          <w:sz w:val="21"/>
        </w:rPr>
        <w:t>的核磁碳谱图</w:t>
      </w:r>
    </w:p>
    <w:p w14:paraId="4D197A95">
      <w:pPr>
        <w:keepNext/>
        <w:ind w:left="480" w:firstLine="0" w:firstLineChars="0"/>
      </w:pPr>
      <w:r>
        <w:drawing>
          <wp:inline distT="0" distB="0" distL="114300" distR="114300">
            <wp:extent cx="5270500" cy="3689350"/>
            <wp:effectExtent l="0" t="0" r="0" b="635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73"/>
                    <a:stretch>
                      <a:fillRect/>
                    </a:stretch>
                  </pic:blipFill>
                  <pic:spPr>
                    <a:xfrm>
                      <a:off x="0" y="0"/>
                      <a:ext cx="5270500" cy="3689350"/>
                    </a:xfrm>
                    <a:prstGeom prst="rect">
                      <a:avLst/>
                    </a:prstGeom>
                    <a:noFill/>
                    <a:ln>
                      <a:noFill/>
                    </a:ln>
                  </pic:spPr>
                </pic:pic>
              </a:graphicData>
            </a:graphic>
          </wp:inline>
        </w:drawing>
      </w:r>
    </w:p>
    <w:p w14:paraId="1011010B">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14</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3</w:t>
      </w:r>
      <w:r>
        <w:rPr>
          <w:rFonts w:ascii="Times New Roman" w:hAnsi="Times New Roman"/>
          <w:sz w:val="21"/>
        </w:rPr>
        <w:t>的核磁碳谱图</w:t>
      </w:r>
    </w:p>
    <w:p w14:paraId="7477683B">
      <w:pPr>
        <w:keepNext/>
        <w:ind w:left="480" w:firstLine="0" w:firstLineChars="0"/>
      </w:pPr>
      <w:r>
        <w:drawing>
          <wp:inline distT="0" distB="0" distL="114300" distR="114300">
            <wp:extent cx="5268595" cy="3740785"/>
            <wp:effectExtent l="0" t="0" r="1905" b="5715"/>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74"/>
                    <a:stretch>
                      <a:fillRect/>
                    </a:stretch>
                  </pic:blipFill>
                  <pic:spPr>
                    <a:xfrm>
                      <a:off x="0" y="0"/>
                      <a:ext cx="5268595" cy="3740785"/>
                    </a:xfrm>
                    <a:prstGeom prst="rect">
                      <a:avLst/>
                    </a:prstGeom>
                    <a:noFill/>
                    <a:ln>
                      <a:noFill/>
                    </a:ln>
                  </pic:spPr>
                </pic:pic>
              </a:graphicData>
            </a:graphic>
          </wp:inline>
        </w:drawing>
      </w:r>
    </w:p>
    <w:p w14:paraId="46508E65">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15</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4</w:t>
      </w:r>
      <w:r>
        <w:rPr>
          <w:rFonts w:ascii="Times New Roman" w:hAnsi="Times New Roman"/>
          <w:sz w:val="21"/>
        </w:rPr>
        <w:t>的核磁碳谱图</w:t>
      </w:r>
    </w:p>
    <w:p w14:paraId="41189845">
      <w:pPr>
        <w:keepNext/>
        <w:ind w:left="480" w:firstLine="0" w:firstLineChars="0"/>
      </w:pPr>
      <w:r>
        <w:drawing>
          <wp:inline distT="0" distB="0" distL="114300" distR="114300">
            <wp:extent cx="5261610" cy="3662045"/>
            <wp:effectExtent l="0" t="0" r="8890" b="8255"/>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75"/>
                    <a:stretch>
                      <a:fillRect/>
                    </a:stretch>
                  </pic:blipFill>
                  <pic:spPr>
                    <a:xfrm>
                      <a:off x="0" y="0"/>
                      <a:ext cx="5261610" cy="3662045"/>
                    </a:xfrm>
                    <a:prstGeom prst="rect">
                      <a:avLst/>
                    </a:prstGeom>
                    <a:noFill/>
                    <a:ln>
                      <a:noFill/>
                    </a:ln>
                  </pic:spPr>
                </pic:pic>
              </a:graphicData>
            </a:graphic>
          </wp:inline>
        </w:drawing>
      </w:r>
    </w:p>
    <w:p w14:paraId="3D8CD277">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16</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5</w:t>
      </w:r>
      <w:r>
        <w:rPr>
          <w:rFonts w:ascii="Times New Roman" w:hAnsi="Times New Roman"/>
          <w:sz w:val="21"/>
        </w:rPr>
        <w:t>的核磁碳谱图</w:t>
      </w:r>
    </w:p>
    <w:p w14:paraId="0A7C51EB">
      <w:pPr>
        <w:keepNext/>
        <w:ind w:left="480" w:firstLine="0" w:firstLineChars="0"/>
      </w:pPr>
      <w:r>
        <w:drawing>
          <wp:inline distT="0" distB="0" distL="114300" distR="114300">
            <wp:extent cx="5262880" cy="3669030"/>
            <wp:effectExtent l="0" t="0" r="7620" b="1270"/>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76"/>
                    <a:stretch>
                      <a:fillRect/>
                    </a:stretch>
                  </pic:blipFill>
                  <pic:spPr>
                    <a:xfrm>
                      <a:off x="0" y="0"/>
                      <a:ext cx="5262880" cy="3669030"/>
                    </a:xfrm>
                    <a:prstGeom prst="rect">
                      <a:avLst/>
                    </a:prstGeom>
                    <a:noFill/>
                    <a:ln>
                      <a:noFill/>
                    </a:ln>
                  </pic:spPr>
                </pic:pic>
              </a:graphicData>
            </a:graphic>
          </wp:inline>
        </w:drawing>
      </w:r>
    </w:p>
    <w:p w14:paraId="760F057D">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17</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6</w:t>
      </w:r>
      <w:r>
        <w:rPr>
          <w:rFonts w:ascii="Times New Roman" w:hAnsi="Times New Roman"/>
          <w:sz w:val="21"/>
        </w:rPr>
        <w:t>的核磁碳谱图</w:t>
      </w:r>
    </w:p>
    <w:p w14:paraId="6FE54218">
      <w:pPr>
        <w:keepNext/>
        <w:ind w:left="480" w:firstLine="0" w:firstLineChars="0"/>
      </w:pPr>
      <w:r>
        <w:drawing>
          <wp:inline distT="0" distB="0" distL="114300" distR="114300">
            <wp:extent cx="5270500" cy="3645535"/>
            <wp:effectExtent l="0" t="0" r="0" b="12065"/>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77"/>
                    <a:stretch>
                      <a:fillRect/>
                    </a:stretch>
                  </pic:blipFill>
                  <pic:spPr>
                    <a:xfrm>
                      <a:off x="0" y="0"/>
                      <a:ext cx="5270500" cy="3645535"/>
                    </a:xfrm>
                    <a:prstGeom prst="rect">
                      <a:avLst/>
                    </a:prstGeom>
                    <a:noFill/>
                    <a:ln>
                      <a:noFill/>
                    </a:ln>
                  </pic:spPr>
                </pic:pic>
              </a:graphicData>
            </a:graphic>
          </wp:inline>
        </w:drawing>
      </w:r>
    </w:p>
    <w:p w14:paraId="40E9F71C">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18</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7</w:t>
      </w:r>
      <w:r>
        <w:rPr>
          <w:rFonts w:ascii="Times New Roman" w:hAnsi="Times New Roman"/>
          <w:sz w:val="21"/>
        </w:rPr>
        <w:t>的核磁碳谱图</w:t>
      </w:r>
    </w:p>
    <w:p w14:paraId="6C394652">
      <w:pPr>
        <w:keepNext/>
        <w:ind w:left="480" w:firstLine="0" w:firstLineChars="0"/>
      </w:pPr>
      <w:r>
        <w:drawing>
          <wp:inline distT="0" distB="0" distL="114300" distR="114300">
            <wp:extent cx="5264150" cy="3689350"/>
            <wp:effectExtent l="0" t="0" r="6350" b="6350"/>
            <wp:docPr id="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pic:cNvPicPr>
                      <a:picLocks noChangeAspect="1"/>
                    </pic:cNvPicPr>
                  </pic:nvPicPr>
                  <pic:blipFill>
                    <a:blip r:embed="rId78"/>
                    <a:stretch>
                      <a:fillRect/>
                    </a:stretch>
                  </pic:blipFill>
                  <pic:spPr>
                    <a:xfrm>
                      <a:off x="0" y="0"/>
                      <a:ext cx="5264150" cy="3689350"/>
                    </a:xfrm>
                    <a:prstGeom prst="rect">
                      <a:avLst/>
                    </a:prstGeom>
                    <a:noFill/>
                    <a:ln>
                      <a:noFill/>
                    </a:ln>
                  </pic:spPr>
                </pic:pic>
              </a:graphicData>
            </a:graphic>
          </wp:inline>
        </w:drawing>
      </w:r>
    </w:p>
    <w:p w14:paraId="0906486A">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19</w:t>
      </w:r>
      <w:r>
        <w:rPr>
          <w:rFonts w:ascii="Times New Roman" w:hAnsi="Times New Roman"/>
          <w:sz w:val="21"/>
        </w:rPr>
        <w:fldChar w:fldCharType="end"/>
      </w:r>
      <w:r>
        <w:rPr>
          <w:rFonts w:ascii="Times New Roman" w:hAnsi="Times New Roman"/>
          <w:sz w:val="21"/>
        </w:rPr>
        <w:t>目标产物</w:t>
      </w:r>
      <w:r>
        <w:rPr>
          <w:rFonts w:hint="eastAsia" w:ascii="Times New Roman" w:hAnsi="Times New Roman"/>
          <w:sz w:val="21"/>
        </w:rPr>
        <w:t>8</w:t>
      </w:r>
      <w:r>
        <w:rPr>
          <w:rFonts w:ascii="Times New Roman" w:hAnsi="Times New Roman"/>
          <w:sz w:val="21"/>
        </w:rPr>
        <w:t>的核磁碳谱图</w:t>
      </w:r>
    </w:p>
    <w:p w14:paraId="6E46C592">
      <w:pPr>
        <w:keepNext/>
        <w:ind w:left="480" w:firstLine="0" w:firstLineChars="0"/>
      </w:pPr>
      <w:r>
        <w:drawing>
          <wp:inline distT="0" distB="0" distL="114300" distR="114300">
            <wp:extent cx="5268595" cy="3710305"/>
            <wp:effectExtent l="0" t="0" r="1905" b="10795"/>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pic:cNvPicPr>
                      <a:picLocks noChangeAspect="1"/>
                    </pic:cNvPicPr>
                  </pic:nvPicPr>
                  <pic:blipFill>
                    <a:blip r:embed="rId79"/>
                    <a:stretch>
                      <a:fillRect/>
                    </a:stretch>
                  </pic:blipFill>
                  <pic:spPr>
                    <a:xfrm>
                      <a:off x="0" y="0"/>
                      <a:ext cx="5268595" cy="3710305"/>
                    </a:xfrm>
                    <a:prstGeom prst="rect">
                      <a:avLst/>
                    </a:prstGeom>
                    <a:noFill/>
                    <a:ln>
                      <a:noFill/>
                    </a:ln>
                  </pic:spPr>
                </pic:pic>
              </a:graphicData>
            </a:graphic>
          </wp:inline>
        </w:drawing>
      </w:r>
    </w:p>
    <w:p w14:paraId="0F4EA9F3">
      <w:pPr>
        <w:pStyle w:val="7"/>
        <w:ind w:firstLine="420"/>
        <w:jc w:val="center"/>
        <w:rPr>
          <w:rFonts w:ascii="Times New Roman" w:hAnsi="Times New Roman"/>
          <w:sz w:val="21"/>
        </w:rPr>
      </w:pPr>
      <w:r>
        <w:rPr>
          <w:rFonts w:hint="eastAsia" w:ascii="Times New Roman" w:hAnsi="Times New Roman"/>
          <w:sz w:val="21"/>
        </w:rPr>
        <w:t xml:space="preserve">附图 </w:t>
      </w:r>
      <w:r>
        <w:rPr>
          <w:rFonts w:ascii="Times New Roman" w:hAnsi="Times New Roman"/>
          <w:sz w:val="21"/>
        </w:rPr>
        <w:fldChar w:fldCharType="begin"/>
      </w:r>
      <w:r>
        <w:rPr>
          <w:rFonts w:ascii="Times New Roman" w:hAnsi="Times New Roman"/>
          <w:sz w:val="21"/>
        </w:rPr>
        <w:instrText xml:space="preserve"> </w:instrText>
      </w:r>
      <w:r>
        <w:rPr>
          <w:rFonts w:hint="eastAsia" w:ascii="Times New Roman" w:hAnsi="Times New Roman"/>
          <w:sz w:val="21"/>
        </w:rPr>
        <w:instrText xml:space="preserve">SEQ 附图 \* ARABIC</w:instrText>
      </w:r>
      <w:r>
        <w:rPr>
          <w:rFonts w:ascii="Times New Roman" w:hAnsi="Times New Roman"/>
          <w:sz w:val="21"/>
        </w:rPr>
        <w:instrText xml:space="preserve"> </w:instrText>
      </w:r>
      <w:r>
        <w:rPr>
          <w:rFonts w:ascii="Times New Roman" w:hAnsi="Times New Roman"/>
          <w:sz w:val="21"/>
        </w:rPr>
        <w:fldChar w:fldCharType="separate"/>
      </w:r>
      <w:r>
        <w:rPr>
          <w:rFonts w:hint="eastAsia" w:ascii="Times New Roman" w:hAnsi="Times New Roman"/>
          <w:sz w:val="21"/>
        </w:rPr>
        <w:t>20</w:t>
      </w:r>
      <w:r>
        <w:rPr>
          <w:rFonts w:ascii="Times New Roman" w:hAnsi="Times New Roman"/>
          <w:sz w:val="21"/>
        </w:rPr>
        <w:fldChar w:fldCharType="end"/>
      </w:r>
      <w:r>
        <w:rPr>
          <w:rFonts w:ascii="Times New Roman" w:hAnsi="Times New Roman"/>
          <w:sz w:val="21"/>
        </w:rPr>
        <w:t>目标产物9的核磁碳谱图</w:t>
      </w:r>
    </w:p>
    <w:p w14:paraId="0EE5B0BF">
      <w:pPr>
        <w:widowControl/>
        <w:spacing w:after="160" w:line="278" w:lineRule="auto"/>
        <w:ind w:firstLine="0" w:firstLineChars="0"/>
        <w:jc w:val="left"/>
        <w:rPr>
          <w:rFonts w:hint="eastAsia" w:ascii="黑体" w:hAnsi="黑体" w:eastAsia="黑体" w:cs="黑体"/>
          <w:sz w:val="30"/>
          <w:szCs w:val="30"/>
        </w:rPr>
      </w:pPr>
      <w:r>
        <w:rPr>
          <w:rFonts w:hint="eastAsia" w:ascii="黑体" w:hAnsi="黑体" w:eastAsia="黑体" w:cs="黑体"/>
          <w:sz w:val="30"/>
          <w:szCs w:val="30"/>
        </w:rPr>
        <w:br w:type="page"/>
      </w:r>
    </w:p>
    <w:p w14:paraId="263C1095">
      <w:pPr>
        <w:tabs>
          <w:tab w:val="left" w:pos="0"/>
        </w:tabs>
        <w:ind w:firstLineChars="0"/>
        <w:jc w:val="center"/>
        <w:outlineLvl w:val="0"/>
        <w:rPr>
          <w:rFonts w:hint="eastAsia" w:ascii="黑体" w:hAnsi="黑体" w:eastAsia="黑体" w:cs="黑体"/>
          <w:sz w:val="30"/>
          <w:szCs w:val="30"/>
        </w:rPr>
      </w:pPr>
    </w:p>
    <w:p w14:paraId="4D9E5025">
      <w:pPr>
        <w:ind w:firstLine="480"/>
      </w:pPr>
    </w:p>
    <w:p/>
    <w:p/>
    <w:p/>
    <w:p>
      <w:pPr>
        <w:jc w:val="right"/>
      </w:pPr>
      <w:r>
        <w:drawing>
          <wp:inline xmlns:a="http://schemas.openxmlformats.org/drawingml/2006/main" xmlns:pic="http://schemas.openxmlformats.org/drawingml/2006/picture">
            <wp:extent cx="1097280" cy="1506931"/>
            <wp:docPr id="37" name="Picture 37"/>
            <wp:cNvGraphicFramePr>
              <a:graphicFrameLocks noChangeAspect="1"/>
            </wp:cNvGraphicFramePr>
            <a:graphic>
              <a:graphicData uri="http://schemas.openxmlformats.org/drawingml/2006/picture">
                <pic:pic>
                  <pic:nvPicPr>
                    <pic:cNvPr id="0" name="朱银杭_电子签名.png"/>
                    <pic:cNvPicPr/>
                  </pic:nvPicPr>
                  <pic:blipFill>
                    <a:blip r:embed="rId84"/>
                    <a:stretch>
                      <a:fillRect/>
                    </a:stretch>
                  </pic:blipFill>
                  <pic:spPr>
                    <a:xfrm>
                      <a:off x="0" y="0"/>
                      <a:ext cx="1097280" cy="1506931"/>
                    </a:xfrm>
                    <a:prstGeom prst="rect"/>
                  </pic:spPr>
                </pic:pic>
              </a:graphicData>
            </a:graphic>
          </wp:inline>
        </w:drawing>
      </w:r>
    </w:p>
    <w:p>
      <w:pPr>
        <w:spacing w:before="120"/>
        <w:jc w:val="right"/>
      </w:pPr>
      <w:r>
        <w:rPr>
          <w:rFonts w:ascii="Times New Roman" w:hAnsi="Times New Roman"/>
          <w:sz w:val="24"/>
        </w:rPr>
        <w:t>2025.4.14</w:t>
      </w:r>
    </w:p>
    <w:sectPr>
      <w:head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CE882">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4E20B">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A29AA">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7648157"/>
      <w:docPartObj>
        <w:docPartGallery w:val="autotext"/>
      </w:docPartObj>
    </w:sdtPr>
    <w:sdtContent>
      <w:p w14:paraId="755D4876">
        <w:pPr>
          <w:pStyle w:val="8"/>
          <w:ind w:firstLine="360"/>
          <w:jc w:val="center"/>
        </w:pPr>
        <w:r>
          <w:fldChar w:fldCharType="begin"/>
        </w:r>
        <w:r>
          <w:instrText xml:space="preserve">PAGE   \* MERGEFORMAT</w:instrText>
        </w:r>
        <w:r>
          <w:fldChar w:fldCharType="separate"/>
        </w:r>
        <w:r>
          <w:rPr>
            <w:lang w:val="zh-CN"/>
          </w:rPr>
          <w:t>2</w:t>
        </w:r>
        <w:r>
          <w:fldChar w:fldCharType="end"/>
        </w:r>
      </w:p>
    </w:sdtContent>
  </w:sdt>
  <w:p w14:paraId="66BE2ED1">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C29E7">
    <w:pPr>
      <w:pStyle w:val="9"/>
      <w:ind w:firstLine="360"/>
      <w:jc w:val="right"/>
      <w:rPr>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D8A72">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0B55C">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FC583">
    <w:pPr>
      <w:pStyle w:val="9"/>
      <w:ind w:firstLine="360"/>
      <w:jc w:val="left"/>
      <w:rPr>
        <w:u w:val="single"/>
      </w:rPr>
    </w:pPr>
    <w:r>
      <w:rPr>
        <w:rFonts w:hint="eastAsia"/>
        <w:u w:val="single"/>
      </w:rPr>
      <w:t>贵州中医药大学</w:t>
    </w:r>
    <w:r>
      <w:rPr>
        <w:rFonts w:hint="eastAsia"/>
        <w:u w:val="single"/>
        <w:lang w:val="en-US" w:eastAsia="zh-CN"/>
      </w:rPr>
      <w:t>毕业论文</w:t>
    </w:r>
    <w:r>
      <w:rPr>
        <w:u w:val="single"/>
      </w:rPr>
      <w:ptab w:relativeTo="margin" w:alignment="center" w:leader="none"/>
    </w:r>
    <w:r>
      <w:rPr>
        <w:u w:val="single"/>
      </w:rP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B26EC">
    <w:pPr>
      <w:pStyle w:val="9"/>
      <w:ind w:firstLine="360"/>
      <w:jc w:val="left"/>
      <w:rPr>
        <w:u w:val="single"/>
      </w:rPr>
    </w:pPr>
    <w:r>
      <w:rPr>
        <w:rFonts w:hint="eastAsia"/>
        <w:u w:val="single"/>
      </w:rPr>
      <w:t>贵州中医药大学</w:t>
    </w:r>
    <w:r>
      <w:rPr>
        <w:rFonts w:hint="eastAsia"/>
        <w:u w:val="single"/>
        <w:lang w:val="en-US" w:eastAsia="zh-CN"/>
      </w:rPr>
      <w:t>毕业论文</w:t>
    </w:r>
    <w:r>
      <w:rPr>
        <w:u w:val="single"/>
      </w:rPr>
      <w:ptab w:relativeTo="margin" w:alignment="center" w:leader="none"/>
    </w:r>
    <w:r>
      <w:rPr>
        <w:u w:val="single"/>
      </w:rPr>
      <w:ptab w:relativeTo="margin" w:alignment="right" w:leader="none"/>
    </w:r>
    <w:r>
      <w:rPr>
        <w:rFonts w:hint="eastAsia"/>
        <w:u w:val="single"/>
      </w:rPr>
      <w:t>第</w:t>
    </w:r>
    <w:r>
      <w:rPr>
        <w:u w:val="single"/>
      </w:rPr>
      <w:fldChar w:fldCharType="begin"/>
    </w:r>
    <w:r>
      <w:rPr>
        <w:u w:val="single"/>
      </w:rPr>
      <w:instrText xml:space="preserve">PAGE   \* MERGEFORMAT</w:instrText>
    </w:r>
    <w:r>
      <w:rPr>
        <w:u w:val="single"/>
      </w:rPr>
      <w:fldChar w:fldCharType="separate"/>
    </w:r>
    <w:r>
      <w:rPr>
        <w:u w:val="single"/>
        <w:lang w:val="zh-CN"/>
      </w:rPr>
      <w:t>1</w:t>
    </w:r>
    <w:r>
      <w:rPr>
        <w:u w:val="single"/>
      </w:rPr>
      <w:fldChar w:fldCharType="end"/>
    </w:r>
    <w:r>
      <w:rPr>
        <w:rFonts w:hint="eastAsia"/>
        <w:u w:val="single"/>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77A26D"/>
    <w:multiLevelType w:val="singleLevel"/>
    <w:tmpl w:val="F877A26D"/>
    <w:lvl w:ilvl="0" w:tentative="0">
      <w:start w:val="1"/>
      <w:numFmt w:val="decimal"/>
      <w:lvlText w:val="[%1]"/>
      <w:lvlJc w:val="left"/>
      <w:pPr>
        <w:tabs>
          <w:tab w:val="left" w:pos="420"/>
        </w:tabs>
      </w:pPr>
      <w:rPr>
        <w:rFonts w:hint="default"/>
      </w:rPr>
    </w:lvl>
  </w:abstractNum>
  <w:abstractNum w:abstractNumId="1">
    <w:nsid w:val="4D0613F4"/>
    <w:multiLevelType w:val="multilevel"/>
    <w:tmpl w:val="4D0613F4"/>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
    <w:nsid w:val="672A1288"/>
    <w:multiLevelType w:val="multilevel"/>
    <w:tmpl w:val="672A1288"/>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B11365"/>
    <w:rsid w:val="00021273"/>
    <w:rsid w:val="00032941"/>
    <w:rsid w:val="000533A7"/>
    <w:rsid w:val="0007693E"/>
    <w:rsid w:val="00096E30"/>
    <w:rsid w:val="000D4432"/>
    <w:rsid w:val="00111B40"/>
    <w:rsid w:val="001572A7"/>
    <w:rsid w:val="001930E0"/>
    <w:rsid w:val="001944AD"/>
    <w:rsid w:val="001D155F"/>
    <w:rsid w:val="001D298A"/>
    <w:rsid w:val="0023695C"/>
    <w:rsid w:val="0025198F"/>
    <w:rsid w:val="00296C5E"/>
    <w:rsid w:val="00297105"/>
    <w:rsid w:val="002D70DB"/>
    <w:rsid w:val="002E0F65"/>
    <w:rsid w:val="00311848"/>
    <w:rsid w:val="00317981"/>
    <w:rsid w:val="00323CF6"/>
    <w:rsid w:val="0038578F"/>
    <w:rsid w:val="004471E3"/>
    <w:rsid w:val="0048240F"/>
    <w:rsid w:val="004D3085"/>
    <w:rsid w:val="004D5FFB"/>
    <w:rsid w:val="005307AD"/>
    <w:rsid w:val="005500DF"/>
    <w:rsid w:val="00575682"/>
    <w:rsid w:val="005C6681"/>
    <w:rsid w:val="00620B13"/>
    <w:rsid w:val="0067312D"/>
    <w:rsid w:val="00675EA9"/>
    <w:rsid w:val="00692FAE"/>
    <w:rsid w:val="006A253A"/>
    <w:rsid w:val="006E3BC7"/>
    <w:rsid w:val="007047D5"/>
    <w:rsid w:val="00705870"/>
    <w:rsid w:val="00745659"/>
    <w:rsid w:val="007A2E46"/>
    <w:rsid w:val="007E7A44"/>
    <w:rsid w:val="00805B64"/>
    <w:rsid w:val="00881392"/>
    <w:rsid w:val="009041DE"/>
    <w:rsid w:val="00916587"/>
    <w:rsid w:val="00951CBE"/>
    <w:rsid w:val="00957BDD"/>
    <w:rsid w:val="00961F5F"/>
    <w:rsid w:val="009B4289"/>
    <w:rsid w:val="009B4E54"/>
    <w:rsid w:val="009F7C0A"/>
    <w:rsid w:val="00A13BA9"/>
    <w:rsid w:val="00A349C8"/>
    <w:rsid w:val="00A6540C"/>
    <w:rsid w:val="00AB6A01"/>
    <w:rsid w:val="00B23DFC"/>
    <w:rsid w:val="00B27474"/>
    <w:rsid w:val="00B3601B"/>
    <w:rsid w:val="00B700BE"/>
    <w:rsid w:val="00B7123D"/>
    <w:rsid w:val="00BB4E3E"/>
    <w:rsid w:val="00BC02B3"/>
    <w:rsid w:val="00BD35B9"/>
    <w:rsid w:val="00BF61F5"/>
    <w:rsid w:val="00CA30E4"/>
    <w:rsid w:val="00CA372F"/>
    <w:rsid w:val="00D035D1"/>
    <w:rsid w:val="00D04036"/>
    <w:rsid w:val="00D27324"/>
    <w:rsid w:val="00D86BC6"/>
    <w:rsid w:val="00DC61D4"/>
    <w:rsid w:val="00DD4155"/>
    <w:rsid w:val="00DD6ADD"/>
    <w:rsid w:val="00E06F94"/>
    <w:rsid w:val="00E22841"/>
    <w:rsid w:val="00E40004"/>
    <w:rsid w:val="00E50639"/>
    <w:rsid w:val="00E70B22"/>
    <w:rsid w:val="00F06DD7"/>
    <w:rsid w:val="00F30ADB"/>
    <w:rsid w:val="00F52C67"/>
    <w:rsid w:val="00F81C45"/>
    <w:rsid w:val="00F8489F"/>
    <w:rsid w:val="00FB5E24"/>
    <w:rsid w:val="00FE24BF"/>
    <w:rsid w:val="05D53CB2"/>
    <w:rsid w:val="12FF2159"/>
    <w:rsid w:val="16FA45EC"/>
    <w:rsid w:val="35FA7FBB"/>
    <w:rsid w:val="38B11365"/>
    <w:rsid w:val="3D6A54CD"/>
    <w:rsid w:val="56091CDA"/>
    <w:rsid w:val="57904BAB"/>
    <w:rsid w:val="5D2C42B6"/>
    <w:rsid w:val="66B90B2C"/>
    <w:rsid w:val="6873052F"/>
    <w:rsid w:val="694A1663"/>
    <w:rsid w:val="77A41857"/>
    <w:rsid w:val="7ABF60C0"/>
    <w:rsid w:val="7E725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3"/>
    <w:next w:val="4"/>
    <w:link w:val="34"/>
    <w:qFormat/>
    <w:uiPriority w:val="0"/>
    <w:pPr>
      <w:keepNext/>
      <w:keepLines/>
      <w:spacing w:before="340" w:after="330"/>
      <w:jc w:val="left"/>
    </w:pPr>
    <w:rPr>
      <w:rFonts w:ascii="Times New Roman" w:hAnsi="Times New Roman" w:eastAsia="黑体" w:cs="黑体"/>
      <w:b w:val="0"/>
      <w:bCs/>
      <w:kern w:val="44"/>
      <w:sz w:val="30"/>
      <w:szCs w:val="30"/>
    </w:rPr>
  </w:style>
  <w:style w:type="paragraph" w:styleId="5">
    <w:name w:val="heading 2"/>
    <w:basedOn w:val="1"/>
    <w:next w:val="1"/>
    <w:unhideWhenUsed/>
    <w:qFormat/>
    <w:uiPriority w:val="0"/>
    <w:pPr>
      <w:wordWrap w:val="0"/>
      <w:jc w:val="left"/>
      <w:outlineLvl w:val="1"/>
    </w:pPr>
    <w:rPr>
      <w:rFonts w:hint="eastAsia" w:eastAsia="黑体" w:cs="Times New Roman"/>
      <w:bCs/>
      <w:kern w:val="0"/>
      <w:sz w:val="28"/>
    </w:rPr>
  </w:style>
  <w:style w:type="paragraph" w:styleId="6">
    <w:name w:val="heading 3"/>
    <w:basedOn w:val="1"/>
    <w:next w:val="1"/>
    <w:link w:val="30"/>
    <w:semiHidden/>
    <w:unhideWhenUsed/>
    <w:qFormat/>
    <w:uiPriority w:val="0"/>
    <w:pPr>
      <w:keepNext/>
      <w:keepLines/>
      <w:spacing w:before="260" w:after="260" w:line="416" w:lineRule="auto"/>
      <w:outlineLvl w:val="2"/>
    </w:pPr>
    <w:rPr>
      <w:rFonts w:eastAsia="黑体"/>
      <w:bCs/>
      <w:szCs w:val="32"/>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sz w:val="32"/>
    </w:rPr>
  </w:style>
  <w:style w:type="paragraph" w:styleId="4">
    <w:name w:val="Body Text"/>
    <w:basedOn w:val="1"/>
    <w:qFormat/>
    <w:uiPriority w:val="0"/>
    <w:pPr>
      <w:spacing w:after="120"/>
    </w:pPr>
  </w:style>
  <w:style w:type="paragraph" w:styleId="7">
    <w:name w:val="caption"/>
    <w:basedOn w:val="1"/>
    <w:next w:val="1"/>
    <w:unhideWhenUsed/>
    <w:qFormat/>
    <w:uiPriority w:val="0"/>
    <w:pPr>
      <w:jc w:val="center"/>
    </w:pPr>
    <w:rPr>
      <w:rFonts w:eastAsia="黑体" w:cstheme="majorBidi"/>
      <w:sz w:val="21"/>
      <w:szCs w:val="20"/>
    </w:rPr>
  </w:style>
  <w:style w:type="paragraph" w:styleId="8">
    <w:name w:val="footer"/>
    <w:basedOn w:val="1"/>
    <w:link w:val="32"/>
    <w:qFormat/>
    <w:uiPriority w:val="99"/>
    <w:pPr>
      <w:tabs>
        <w:tab w:val="center" w:pos="4153"/>
        <w:tab w:val="right" w:pos="8306"/>
      </w:tabs>
      <w:snapToGrid w:val="0"/>
      <w:jc w:val="left"/>
    </w:pPr>
    <w:rPr>
      <w:sz w:val="18"/>
    </w:rPr>
  </w:style>
  <w:style w:type="paragraph" w:styleId="9">
    <w:name w:val="header"/>
    <w:basedOn w:val="1"/>
    <w:link w:val="3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Normal (Web)"/>
    <w:basedOn w:val="1"/>
    <w:unhideWhenUsed/>
    <w:qFormat/>
    <w:uiPriority w:val="99"/>
    <w:pPr>
      <w:spacing w:before="100" w:beforeAutospacing="1" w:after="100" w:afterAutospacing="1"/>
      <w:ind w:firstLine="0" w:firstLineChars="0"/>
      <w:jc w:val="left"/>
    </w:pPr>
    <w:rPr>
      <w:rFonts w:ascii="Calibri" w:hAnsi="Calibri" w:cs="Times New Roman"/>
      <w:kern w:val="0"/>
    </w:rPr>
  </w:style>
  <w:style w:type="table" w:styleId="14">
    <w:name w:val="Table Grid"/>
    <w:basedOn w:val="13"/>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line number"/>
    <w:basedOn w:val="15"/>
    <w:qFormat/>
    <w:uiPriority w:val="0"/>
  </w:style>
  <w:style w:type="character" w:styleId="18">
    <w:name w:val="Hyperlink"/>
    <w:basedOn w:val="15"/>
    <w:unhideWhenUsed/>
    <w:qFormat/>
    <w:uiPriority w:val="99"/>
    <w:rPr>
      <w:color w:val="0026E5" w:themeColor="hyperlink"/>
      <w:u w:val="single"/>
      <w14:textFill>
        <w14:solidFill>
          <w14:schemeClr w14:val="hlink"/>
        </w14:solidFill>
      </w14:textFill>
    </w:rPr>
  </w:style>
  <w:style w:type="paragraph" w:customStyle="1" w:styleId="19">
    <w:name w:val="TOC 标题1"/>
    <w:basedOn w:val="2"/>
    <w:next w:val="1"/>
    <w:unhideWhenUsed/>
    <w:qFormat/>
    <w:uiPriority w:val="39"/>
    <w:pPr>
      <w:widowControl/>
      <w:spacing w:before="240" w:after="0" w:line="259" w:lineRule="auto"/>
      <w:ind w:firstLine="0" w:firstLineChars="0"/>
      <w:outlineLvl w:val="9"/>
    </w:pPr>
    <w:rPr>
      <w:rFonts w:asciiTheme="majorHAnsi" w:hAnsiTheme="majorHAnsi" w:eastAsiaTheme="majorEastAsia" w:cstheme="majorBidi"/>
      <w:color w:val="2E54A1" w:themeColor="accent1" w:themeShade="BF"/>
      <w:kern w:val="0"/>
      <w:sz w:val="32"/>
      <w:szCs w:val="32"/>
    </w:rPr>
  </w:style>
  <w:style w:type="paragraph" w:customStyle="1" w:styleId="20">
    <w:name w:val="列表段落1"/>
    <w:basedOn w:val="1"/>
    <w:qFormat/>
    <w:uiPriority w:val="0"/>
    <w:pPr>
      <w:widowControl/>
      <w:ind w:firstLine="420"/>
      <w:jc w:val="left"/>
    </w:pPr>
    <w:rPr>
      <w:rFonts w:ascii="等线" w:hAnsi="等线" w:cs="Times New Roman"/>
    </w:rPr>
  </w:style>
  <w:style w:type="table" w:customStyle="1" w:styleId="21">
    <w:name w:val="网格型1"/>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网格型2"/>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7e8dc108-4af0-426d-bb9c-8f96acaaca48"/>
    <w:basedOn w:val="1"/>
    <w:link w:val="24"/>
    <w:qFormat/>
    <w:uiPriority w:val="0"/>
    <w:pPr>
      <w:adjustRightInd w:val="0"/>
      <w:spacing w:line="600" w:lineRule="exact"/>
      <w:ind w:firstLine="0" w:firstLineChars="0"/>
    </w:pPr>
    <w:rPr>
      <w:rFonts w:ascii="仿宋" w:hAnsi="仿宋" w:eastAsia="仿宋" w:cs="Times New Roman"/>
      <w:color w:val="000000"/>
      <w:sz w:val="32"/>
      <w:szCs w:val="36"/>
    </w:rPr>
  </w:style>
  <w:style w:type="character" w:customStyle="1" w:styleId="24">
    <w:name w:val="7e8dc108-4af0-426d-bb9c-8f96acaaca48 字符"/>
    <w:link w:val="23"/>
    <w:qFormat/>
    <w:uiPriority w:val="0"/>
    <w:rPr>
      <w:rFonts w:ascii="仿宋" w:hAnsi="仿宋" w:eastAsia="仿宋"/>
      <w:color w:val="000000"/>
      <w:kern w:val="2"/>
      <w:sz w:val="32"/>
      <w:szCs w:val="36"/>
    </w:rPr>
  </w:style>
  <w:style w:type="paragraph" w:customStyle="1" w:styleId="25">
    <w:name w:val="09e487e7-1a58-459e-a572-3d38ef8146b4"/>
    <w:basedOn w:val="3"/>
    <w:next w:val="23"/>
    <w:link w:val="26"/>
    <w:qFormat/>
    <w:uiPriority w:val="0"/>
    <w:pPr>
      <w:adjustRightInd w:val="0"/>
      <w:spacing w:before="0" w:after="0" w:line="560" w:lineRule="exact"/>
      <w:ind w:firstLine="0" w:firstLineChars="0"/>
    </w:pPr>
    <w:rPr>
      <w:rFonts w:ascii="宋体" w:hAnsi="宋体" w:cs="Times New Roman"/>
      <w:bCs/>
      <w:color w:val="000000"/>
      <w:sz w:val="44"/>
      <w:szCs w:val="32"/>
    </w:rPr>
  </w:style>
  <w:style w:type="character" w:customStyle="1" w:styleId="26">
    <w:name w:val="09e487e7-1a58-459e-a572-3d38ef8146b4 字符"/>
    <w:link w:val="25"/>
    <w:qFormat/>
    <w:uiPriority w:val="0"/>
    <w:rPr>
      <w:rFonts w:ascii="宋体" w:hAnsi="宋体"/>
      <w:b/>
      <w:bCs/>
      <w:color w:val="000000"/>
      <w:kern w:val="2"/>
      <w:sz w:val="44"/>
      <w:szCs w:val="32"/>
    </w:rPr>
  </w:style>
  <w:style w:type="paragraph" w:customStyle="1" w:styleId="27">
    <w:name w:val="acbfdd8b-e11b-4d36-88ff-6049b138f862"/>
    <w:basedOn w:val="1"/>
    <w:link w:val="28"/>
    <w:qFormat/>
    <w:uiPriority w:val="0"/>
    <w:pPr>
      <w:adjustRightInd w:val="0"/>
      <w:spacing w:line="288" w:lineRule="auto"/>
      <w:ind w:firstLine="0" w:firstLineChars="0"/>
      <w:jc w:val="left"/>
    </w:pPr>
    <w:rPr>
      <w:rFonts w:ascii="微软雅黑" w:hAnsi="微软雅黑" w:eastAsia="微软雅黑" w:cs="Times New Roman"/>
      <w:color w:val="000000"/>
      <w:sz w:val="22"/>
      <w:szCs w:val="44"/>
    </w:rPr>
  </w:style>
  <w:style w:type="character" w:customStyle="1" w:styleId="28">
    <w:name w:val="acbfdd8b-e11b-4d36-88ff-6049b138f862 字符"/>
    <w:link w:val="27"/>
    <w:qFormat/>
    <w:uiPriority w:val="0"/>
    <w:rPr>
      <w:rFonts w:ascii="微软雅黑" w:hAnsi="微软雅黑" w:eastAsia="微软雅黑"/>
      <w:color w:val="000000"/>
      <w:kern w:val="2"/>
      <w:sz w:val="22"/>
      <w:szCs w:val="44"/>
    </w:rPr>
  </w:style>
  <w:style w:type="character" w:customStyle="1" w:styleId="29">
    <w:name w:val="Subtle Emphasis"/>
    <w:qFormat/>
    <w:uiPriority w:val="19"/>
    <w:rPr>
      <w:rFonts w:eastAsia="黑体"/>
      <w:iCs/>
      <w:color w:val="000000"/>
      <w:sz w:val="24"/>
    </w:rPr>
  </w:style>
  <w:style w:type="character" w:customStyle="1" w:styleId="30">
    <w:name w:val="标题 3 字符"/>
    <w:basedOn w:val="15"/>
    <w:link w:val="6"/>
    <w:semiHidden/>
    <w:qFormat/>
    <w:uiPriority w:val="0"/>
    <w:rPr>
      <w:rFonts w:eastAsia="黑体" w:cstheme="minorBidi"/>
      <w:bCs/>
      <w:kern w:val="2"/>
      <w:sz w:val="24"/>
      <w:szCs w:val="32"/>
    </w:rPr>
  </w:style>
  <w:style w:type="paragraph" w:customStyle="1" w:styleId="31">
    <w:name w:val="TOC Heading"/>
    <w:basedOn w:val="2"/>
    <w:next w:val="1"/>
    <w:unhideWhenUsed/>
    <w:qFormat/>
    <w:uiPriority w:val="39"/>
    <w:pPr>
      <w:widowControl/>
      <w:spacing w:before="240" w:after="0" w:line="259" w:lineRule="auto"/>
      <w:ind w:firstLine="0" w:firstLineChars="0"/>
      <w:outlineLvl w:val="9"/>
    </w:pPr>
    <w:rPr>
      <w:rFonts w:asciiTheme="majorHAnsi" w:hAnsiTheme="majorHAnsi" w:eastAsiaTheme="majorEastAsia" w:cstheme="majorBidi"/>
      <w:bCs w:val="0"/>
      <w:color w:val="2E54A1" w:themeColor="accent1" w:themeShade="BF"/>
      <w:kern w:val="0"/>
      <w:sz w:val="32"/>
      <w:szCs w:val="32"/>
    </w:rPr>
  </w:style>
  <w:style w:type="character" w:customStyle="1" w:styleId="32">
    <w:name w:val="页脚 字符"/>
    <w:basedOn w:val="15"/>
    <w:link w:val="8"/>
    <w:uiPriority w:val="99"/>
    <w:rPr>
      <w:rFonts w:cstheme="minorBidi"/>
      <w:kern w:val="2"/>
      <w:sz w:val="18"/>
      <w:szCs w:val="24"/>
    </w:rPr>
  </w:style>
  <w:style w:type="character" w:customStyle="1" w:styleId="33">
    <w:name w:val="页眉 字符"/>
    <w:basedOn w:val="15"/>
    <w:link w:val="9"/>
    <w:qFormat/>
    <w:uiPriority w:val="99"/>
    <w:rPr>
      <w:rFonts w:cstheme="minorBidi"/>
      <w:kern w:val="2"/>
      <w:sz w:val="18"/>
      <w:szCs w:val="24"/>
    </w:rPr>
  </w:style>
  <w:style w:type="character" w:customStyle="1" w:styleId="34">
    <w:name w:val="标题 1 Char"/>
    <w:link w:val="2"/>
    <w:uiPriority w:val="0"/>
    <w:rPr>
      <w:rFonts w:ascii="Times New Roman" w:hAnsi="Times New Roman" w:eastAsia="黑体" w:cs="黑体"/>
      <w:bCs/>
      <w:kern w:val="44"/>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1.xml"/><Relationship Id="rId79" Type="http://schemas.openxmlformats.org/officeDocument/2006/relationships/image" Target="media/image45.png"/><Relationship Id="rId78"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header" Target="header3.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2.xml"/><Relationship Id="rId59" Type="http://schemas.openxmlformats.org/officeDocument/2006/relationships/image" Target="media/image25.emf"/><Relationship Id="rId58" Type="http://schemas.openxmlformats.org/officeDocument/2006/relationships/oleObject" Target="embeddings/oleObject20.bin"/><Relationship Id="rId57" Type="http://schemas.openxmlformats.org/officeDocument/2006/relationships/image" Target="media/image24.emf"/><Relationship Id="rId56" Type="http://schemas.openxmlformats.org/officeDocument/2006/relationships/oleObject" Target="embeddings/oleObject19.bin"/><Relationship Id="rId55" Type="http://schemas.openxmlformats.org/officeDocument/2006/relationships/image" Target="media/image23.emf"/><Relationship Id="rId54" Type="http://schemas.openxmlformats.org/officeDocument/2006/relationships/oleObject" Target="embeddings/oleObject18.bin"/><Relationship Id="rId53" Type="http://schemas.openxmlformats.org/officeDocument/2006/relationships/image" Target="media/image22.emf"/><Relationship Id="rId52" Type="http://schemas.openxmlformats.org/officeDocument/2006/relationships/oleObject" Target="embeddings/oleObject17.bin"/><Relationship Id="rId51" Type="http://schemas.openxmlformats.org/officeDocument/2006/relationships/image" Target="media/image21.emf"/><Relationship Id="rId50" Type="http://schemas.openxmlformats.org/officeDocument/2006/relationships/oleObject" Target="embeddings/oleObject16.bin"/><Relationship Id="rId5" Type="http://schemas.openxmlformats.org/officeDocument/2006/relationships/header" Target="header1.xml"/><Relationship Id="rId49" Type="http://schemas.openxmlformats.org/officeDocument/2006/relationships/image" Target="media/image20.emf"/><Relationship Id="rId48" Type="http://schemas.openxmlformats.org/officeDocument/2006/relationships/oleObject" Target="embeddings/oleObject15.bin"/><Relationship Id="rId47" Type="http://schemas.openxmlformats.org/officeDocument/2006/relationships/image" Target="media/image19.emf"/><Relationship Id="rId46" Type="http://schemas.openxmlformats.org/officeDocument/2006/relationships/oleObject" Target="embeddings/oleObject14.bin"/><Relationship Id="rId45" Type="http://schemas.openxmlformats.org/officeDocument/2006/relationships/image" Target="media/image18.emf"/><Relationship Id="rId44" Type="http://schemas.openxmlformats.org/officeDocument/2006/relationships/oleObject" Target="embeddings/oleObject13.bin"/><Relationship Id="rId43" Type="http://schemas.openxmlformats.org/officeDocument/2006/relationships/image" Target="media/image17.emf"/><Relationship Id="rId42" Type="http://schemas.openxmlformats.org/officeDocument/2006/relationships/oleObject" Target="embeddings/oleObject12.bin"/><Relationship Id="rId41" Type="http://schemas.openxmlformats.org/officeDocument/2006/relationships/image" Target="media/image16.e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15.emf"/><Relationship Id="rId38" Type="http://schemas.openxmlformats.org/officeDocument/2006/relationships/oleObject" Target="embeddings/oleObject10.bin"/><Relationship Id="rId37" Type="http://schemas.openxmlformats.org/officeDocument/2006/relationships/image" Target="media/image14.emf"/><Relationship Id="rId36" Type="http://schemas.openxmlformats.org/officeDocument/2006/relationships/oleObject" Target="embeddings/oleObject9.bin"/><Relationship Id="rId35" Type="http://schemas.openxmlformats.org/officeDocument/2006/relationships/image" Target="media/image13.emf"/><Relationship Id="rId34" Type="http://schemas.openxmlformats.org/officeDocument/2006/relationships/oleObject" Target="embeddings/oleObject8.bin"/><Relationship Id="rId33" Type="http://schemas.openxmlformats.org/officeDocument/2006/relationships/image" Target="media/image12.emf"/><Relationship Id="rId32" Type="http://schemas.openxmlformats.org/officeDocument/2006/relationships/oleObject" Target="embeddings/oleObject7.bin"/><Relationship Id="rId31" Type="http://schemas.openxmlformats.org/officeDocument/2006/relationships/image" Target="media/image11.e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5.bin"/><Relationship Id="rId27" Type="http://schemas.openxmlformats.org/officeDocument/2006/relationships/image" Target="media/image9.emf"/><Relationship Id="rId26" Type="http://schemas.openxmlformats.org/officeDocument/2006/relationships/oleObject" Target="embeddings/oleObject4.bin"/><Relationship Id="rId25" Type="http://schemas.openxmlformats.org/officeDocument/2006/relationships/image" Target="media/image8.emf"/><Relationship Id="rId24" Type="http://schemas.openxmlformats.org/officeDocument/2006/relationships/oleObject" Target="embeddings/oleObject3.bin"/><Relationship Id="rId23" Type="http://schemas.openxmlformats.org/officeDocument/2006/relationships/image" Target="media/image7.emf"/><Relationship Id="rId22" Type="http://schemas.openxmlformats.org/officeDocument/2006/relationships/oleObject" Target="embeddings/oleObject2.bin"/><Relationship Id="rId21" Type="http://schemas.openxmlformats.org/officeDocument/2006/relationships/image" Target="media/image6.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84" Type="http://schemas.openxmlformats.org/officeDocument/2006/relationships/image" Target="media/image4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81"/>
    <customShpInfo spid="_x0000_s2082"/>
    <customShpInfo spid="_x0000_s2083"/>
    <customShpInfo spid="_x0000_s2084"/>
    <customShpInfo spid="_x0000_s2085"/>
    <customShpInfo spid="_x0000_s2086"/>
    <customShpInfo spid="_x0000_s2087"/>
    <customShpInfo spid="_x0000_s208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C0994F-D4C5-4175-BA0E-00D1CCDCA459}">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8347</Words>
  <Characters>11083</Characters>
  <Lines>606</Lines>
  <Paragraphs>384</Paragraphs>
  <TotalTime>15</TotalTime>
  <ScaleCrop>false</ScaleCrop>
  <LinksUpToDate>false</LinksUpToDate>
  <CharactersWithSpaces>11610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2026-04-27T05:04:00Z</dcterms:created>
  <dc:creator>WPS_1760778289</dc:creator>
  <cp:lastModifiedBy>满天星</cp:lastModifiedBy>
  <cp:lastPrinted>2026-05-17T10:03:15Z</cp:lastPrinted>
  <dcterms:modified xsi:type="dcterms:W3CDTF">2026-05-17T10:28:52Z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502DCF9F8E4F47FB9C0D6E85E19648CA_13</vt:lpwstr>
  </property>
  <property fmtid="{D5CDD505-2E9C-101B-9397-08002B2CF9AE}" pid="4" name="KSOTemplateDocerSaveRecord">
    <vt:lpwstr>eyJoZGlkIjoiOTJkNDE2YTQ4YWRhMzJkMmVkNmUwNGMxNTRhYmExZGEiLCJ1c2VySWQiOiI2NTI4MzI0MjkifQ==</vt:lpwstr>
  </property>
</Properties>
</file>