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SimSun" w:hAnsi="SimSun" w:eastAsia="SimSun"/>
          <w:b/>
          <w:color w:val="000000"/>
          <w:sz w:val="40"/>
        </w:rPr>
        <w:t>AI导购理由撤回后的预算重审</w:t>
      </w:r>
    </w:p>
    <w:p>
      <w:pPr>
        <w:ind w:firstLine="0"/>
        <w:jc w:val="center"/>
      </w:pPr>
      <w:r>
        <w:rPr>
          <w:rFonts w:ascii="SimSun" w:hAnsi="SimSun" w:eastAsia="SimSun"/>
          <w:b w:val="0"/>
          <w:color w:val="000000"/>
          <w:sz w:val="20"/>
        </w:rPr>
        <w:t>研究报告二手数据修订稿</w:t>
      </w:r>
    </w:p>
    <w:p>
      <w:pPr>
        <w:pStyle w:val="Heading1"/>
      </w:pPr>
      <w:r>
        <w:t>摘要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本研究考察中文AI购物助手为成年消费者推荐充电器时，重要购买理由撤回后的预算重审责任。结合文献与概念分析、规范案例、元宝给定历史预试及真实二手实验数据，提出基于重要性、公开理由使用、可调整性与相称负担的关联说明要求。普通更正已完成功能时无需追加确认；独立理由、知情重申和退出限制重复干预。对既有5,050人牙膏实验进行原观测复分析及参与者重抽样，分别报告信念、选择、标价和不购买。二手结果明确测量边界，预算责任由规范推理辩护。研究形成触发、完成、停止及验收规则，预算更新仍由消费者有效表达决定。</w:t>
      </w:r>
    </w:p>
    <w:p>
      <w:pPr>
        <w:ind w:firstLine="0"/>
        <w:jc w:val="both"/>
      </w:pPr>
      <w:r>
        <w:rPr>
          <w:rFonts w:ascii="SimSun" w:hAnsi="SimSun" w:eastAsia="SimSun"/>
          <w:b w:val="0"/>
          <w:color w:val="000000"/>
          <w:sz w:val="20"/>
        </w:rPr>
        <w:t>关键词：AI购物助手；预算重审；消费者自主性；二手数据复分析</w:t>
      </w:r>
    </w:p>
    <w:p>
      <w:pPr>
        <w:pStyle w:val="Heading1"/>
      </w:pPr>
      <w:r>
        <w:t>一 问题与最近研究</w:t>
      </w:r>
    </w:p>
    <w:p>
      <w:pPr>
        <w:pStyle w:val="Heading2"/>
      </w:pPr>
      <w:r>
        <w:t>从商品纠错到预算重审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使用AI购物助手购买充电器，消费者往往希望减少搜索、理解协议和比较价格的时间。助手通过多轮问答澄清用途，筛选候选，并提供购买理由。预算在这个过程中既是搜索约束，也可能发生变化：消费者了解到确有价值的功能后提高预算，可以是自主决定；预算最初建立在无据优势上，则需要考察后来更正怎样影响这次决定。消费金额、是否成交以及最后表示满意，都不能单独回答这一问题。[1][2]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本文聚焦中国成年消费者使用中文建议型购物助手，为iPhone 15选择一只日常充电器，已经具有可用连接线。初始预算150元和后来记录的200元用于构造比较。手机截图、规范案例和二手实验数据分别管理，牙膏配置及美元价格不作为充电器事实。建议型场景保持最终购买在消费者控制之下，自动下单只作为区分交易授权的边界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问题缘起于三次用户提供的探索性购物对话。材料中，“苹果原装20W退换故障率约0.87%”“倍思30W实测20分钟约36℃”等比较依据，后来因没有可核验原始出处而被明确撤回。另有关于20W充电的歧义得到澄清。这些记录表明需要把推荐理由、证据及更正分别核查；它们没有显示这些说法导致真实消费者把预算从150元提高到200元。后者作为规范案例给定，避免从研究线索补写未观察的心理过程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设想助手以安全优势推荐较贵充电器，消费者明确说主要因此把预算提高至200元；后来该优势失去支持，消费者尚未再次表达预算。系统纠正了原句，也继续推荐200元以内的商品。此时，事实核验和当前约束遵从都可以完成，而先前预算变化的理由是否得到恰当处理，仍是一个独立问题。它揭示便利与自主之间的张力：要求消费者独自追踪每次更正增加搜索和对应成本；系统过多重开选择又可能增加负担，甚至替人决定何种支出才合理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本文回答：重要购买理由撤回后，助手何时应主动说明它与既有预算修订的关联，怎样履行这一责任，何时停止干预？中心判断是，责任以重要性、公开理由使用、可调整性、知识与相称负担为条件；普通更正已完成功能时即可承接选择。最终预算由消费者的有效表达和授权决定。研究采用文献与概念分析、配对规范案例、有限真实系统响应、二手实验数据复分析与经验重抽样，分别承担规范辩护、边界比较、可见表现和原观测的不确定性分析。</w:t>
      </w:r>
    </w:p>
    <w:p>
      <w:pPr>
        <w:pStyle w:val="Heading2"/>
      </w:pPr>
      <w:r>
        <w:t>已有研究的论证方法与本题增量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自主保护为何需要考察预算形成过程，已有研究提供了概念基础。Prunkl先拆分理由归属与行动能力，再用反例说明二者对应不同风险，因此，执行最新预算与保障其形成条件可以分别评价[1]。丁晓东先比较解释权的不同方案，再以成本和适用困境检验统一要求，依据沟通信任推导动态、相对的程序权利[3]。本文借鉴这种“概念区分—反例—相称程序”的方法，不从自主价值直接跳到强制确认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反思式推荐也已有明确先例。Ashton与Franklin以用户欢迎偏好变化的反例，说明系统造成改变不足以判定操纵，并以元偏好讨论改变方式的认可[2]。Lara与del Valle通过规范分析提出苏格拉底式推荐，兼顾事实知识、审议和最终判断，讨论反思摩擦及家长主义[4]。Fischli等比较不同偏好与自主目标，揭示听从表达、能力支持和委托之间的张力[5]。这些方法支持允许知情保留较高预算，不能被改写为既有研究只追求服从或忽视负担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最直接的近邻是Fong等的消费品纠错研究。作者先用模型区分固有偏好和事实信念，再设置广告条件与纠错来源的对照，结合先验信念及激励相容选择，检验支付意愿能否修复；继而以估计的需求参数、价格匹配和成本假设比较企业均衡策略[6]。其讨论已将纠错评价连接到错误信念造成的行动。本文借鉴信念—偏好区分、选择后果与保留不同方向预测的方法，使用其公开观测复分析测量口径。原文比较了反噬可能性，所报告实验未发现反噬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本土研究中，李术平的摘要已将自主选择权延伸至认知、判断和行动能力的形成过程，并讨论公平设计[7]。正文尚未取得，预算纠错责任是否已被具体处理仍待核验；摘要没有列出的事项不能作为全文空白。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第一阶段成果仅为本题提供权限基础：必要告知、探索比较、预算执行与交易授权分别判断。Hung的拟议机制已区分暂不与明确拒绝，并讨论新或改进商品出现后的再接触[8]；第一阶段据此细分告知与商业重开的范围。当前问题推进到用户尚未撤回新预算时的修复责任，拒绝边界只约束修复方式，不另成一条主线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本文拟增加的是四项相互约束的判断。责任对象是助手已知、公开可核的“理由—预算修订”联系。触发须有重要理由失去支持、预算仍可调整、关联尚未恰当处理及相称沟通成本。该项责任的完成取决于更正是否使预算关联可理解，并保持保留、修改和结束的可用机会；普通更正已完成这些功能时，无须另问一次。用户已知情重申、说明足以维持预算的独立理由或明确结束时，应停止重复邀请。理由撤回只改变支持状态，不自动证实其反命题，也不授权回滚预算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这项增量定位为低额AI导购中责任范围与审计标准的细化，尚无排他性查新结论。较强的依赖跟踪与选择性再确认可以实现同一处理；信息、机会、停止条件及参数相同时，应承认功能和结果等价，不据弱基线差距宣称新算法优势。依照Mathur等从规范目标推导指标、基线与阈值的方法[9]，后文用配对案例检验触发、遗漏与停止条件，并以原作者公开的真实数据复分析信念、选择及标价的不同测量。后者不包含新措施处理，不能作为其有效性的直接验证。</w:t>
      </w:r>
    </w:p>
    <w:p>
      <w:pPr>
        <w:pStyle w:val="Heading1"/>
      </w:pPr>
      <w:r>
        <w:t>二 程序性自主与研究设计</w:t>
      </w:r>
    </w:p>
    <w:p>
      <w:pPr>
        <w:pStyle w:val="Heading2"/>
      </w:pPr>
      <w:r>
        <w:t>判断对象与规范前提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知情选择要求消费者对本次重要事实、费用和取舍具有足够可用的理解。规范意义的自主性涉及本人评价理由及维持、修改或终止决定的条件；感知自主性是主观体验，满意度是过程或结果评价。后两者需要当事人资料，本文没有进行相应心理测量。说服可以通过可评价理由改变选择；按照所采用的操纵理论，隐蔽利用决策脆弱性等条件还须分别证成，不能仅由提高预算或一项无据数字直接认定操纵。[1][2][10]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程序性自主是本文的主要理论取向。消费者有决定支出理由及其他生活安排的地位，助手更了解商品不等于有权替其安排机会成本。保护也包括实际修订机会，因而不能只看一句解释或一个退出按钮。另一方面，支持反思能力不等于要求消费者每次完整反思；委托、少步骤协助和不继续选择同样具有价值。[5]辅助借鉴可质疑AI框架将原则转为可操作要求的方法，把这些判断落实为可见的触发、动作与验收条件。[11]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本文提出并承担辩护的角色前提是：提供购物理由、并已知消费者将其用于特定预算修订的协助者，应在更正中相称地照顾这项使用。其根据不是“AI必须更体贴”的一般期待，而是三项具体关系：它邀请消费者依赖自己的判断；收到公开表达后知道理由怎样被使用；它通常比消费者更容易同时掌握撤回内容和修复机会。知识、角色、控制能力与成本限制这种责任，商业推广角色也需要结合实际协助范围评价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本土暗黑模式研究从行为类型与权利影响推导分层治理，提示措施应对应机制和主体条件。[12]本文围绕一次重要理由撤回组织责任判断。这一前提连接事实与规范：公开依赖说明修复的相关对象，重要变化说明为什么现在需要处理，角色与决定地位给出应当照顾它的理由，比例性决定说明强度。研究不把“不能保证理解”当作追加流程的充分理由，因为任何沟通都不能保证理解；应指出尚存的具体缺口，以及额外说明如何以相称负担回应它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80760" cy="4053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论证框架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05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00"/>
        <w:ind w:firstLine="0"/>
        <w:jc w:val="both"/>
      </w:pPr>
      <w:r>
        <w:rPr>
          <w:rFonts w:ascii="SimSun" w:hAnsi="SimSun" w:eastAsia="SimSun"/>
          <w:b w:val="0"/>
          <w:color w:val="000000"/>
          <w:sz w:val="19"/>
        </w:rPr>
        <w:t>图1 责任判断路线。规范前提进入责任推导；经验材料核对测量与可见表现，不由统计差值推出义务。</w:t>
      </w:r>
    </w:p>
    <w:p>
      <w:pPr>
        <w:pStyle w:val="Heading2"/>
      </w:pPr>
      <w:r>
        <w:t>材料身份与配对规范比较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研究按照资料生成方式而非文件数量区分证据，见表1。文献选择围绕自主性、反思推荐、消费者纠错及拒绝范围展开，检索和实际阅读位置分别记录。理论文章根据概念贡献与规范推理评价；摘要和未读章节不承担全文方法缺陷的判断。</w:t>
      </w:r>
    </w:p>
    <w:p>
      <w:pPr>
        <w:keepNext/>
        <w:spacing w:before="80" w:after="100"/>
        <w:ind w:firstLine="0"/>
        <w:jc w:val="both"/>
      </w:pPr>
      <w:r>
        <w:rPr>
          <w:rFonts w:ascii="SimSun" w:hAnsi="SimSun" w:eastAsia="SimSun"/>
          <w:b/>
          <w:color w:val="000000"/>
          <w:sz w:val="19"/>
        </w:rPr>
        <w:t>表1 研究材料与可以支持的判断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3"/>
        <w:gridCol w:w="2756"/>
        <w:gridCol w:w="5295"/>
      </w:tblGrid>
      <w:tr>
        <w:trPr>
          <w:cantSplit/>
          <w:tblHeader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材料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生成与范围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本研究用途及边界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文献及官方文本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取得、局部阅读、论证正文精读分别登记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概念、推理、近邻与制度依据；阅读范围见附录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用户手机探索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三次不同购物会话及后续更正文字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研究缘起与具体断言；非同脚本重复或三名参与者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规范案例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研究者固定商品事实、预算与理由历史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检验判准及反例；不估计心理或购买因果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元宝限定预试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研究者给定历史后，真实系统3条会话、9条发送及回应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记录条件响应；无自然误导链或真人理解测量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二手消费品实验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作者公开的5,050人牙膏信念与选择记录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原四臂观测复分析与参与者重抽样；不含AI预算重审处理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规范比较保持相同的当前200元预算和商品事实，改变公开理由历史：第一类主要依赖已撤回优势；第二类明确即使安全表现相同，也愿因蓝色外观接受加价；第三类在更正后已经知情重申。比较的是不同理由历史下的响应义务，不将类型间的表达与偏好差异称为单一心理变量的因果效应。另以无关小错、关系不明、充分普通更正、明确拒绝等情况限制规则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预试于2026年10月28日约07:21至07:31在元宝Windows桌面版进行，文件版本2.90.0.607，可见模式“快速回答”。执行前保存协议，三类按固定顺序各一会话，每条再收到相同的知情选乙及结束推荐表达。底层模型、路由和跨会话记忆设置未知，完整上下文及逐轮时点留存并在公开副本去识别。前史、甲乙及价格由研究者设定；系统的实际回答与这些构造输入分开编码。</w:t>
      </w:r>
    </w:p>
    <w:p>
      <w:pPr>
        <w:pStyle w:val="Heading2"/>
      </w:pPr>
      <w:r>
        <w:t>二手实验数据与经验重抽样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经验部分采用Fong等作者公开的清洗后复现数据，主用牙膏信念子研究，计5,050名美国Prolific参与者、50,500道选择题和202,000条选项行。[6][13]选择该子研究，是因为其同时提供信念、选择、价格及可核验四臂设计，而非因为所得结果。原作者设计牙膏配置和消息，真实参与者作答；本文没有生成新商品、虚构消费者或补写未观测行为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四臂为普通广告/误导广告与控制消息/监管来源纠错的交叉。原研究预注册明确随机分配至四个被试间条件。[14]清洗后四组人数依次为1,416、1,137、1,121、1,376，不重配成等人数。本文保留公开清洗样本全部记录，未取得从招募到清洗的完整剔除流水，不将本次复分析称为完整招募样本的意向处理分析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每人十题，每题三件商品配置加不购买项。商品标价为0.99、1.99或2.99美元，不购买项编码0美元；四臂所提供菜单的含氟比例均为50%，商品平均标价均为1.99美元。选择附有1/20机会兑现一项选择的奖金与商品安排，而公开表不含实际发奖流水。原研究者在广告图片中也保留了其他属性差异，因此组差对应消息条件，不能将其全部解释为一句误导措辞的孤立效果。[6]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主终点为每人十题中选择含氟商品的比例，主比较为误导广告下监管纠错组减控制消息组。十题构成一名参与者的记录簇，每人等权，不把四个选项或十次任务当作独立被试。其余为探索指标：不购买比例、每题所选标价均值、仅购买题的所选标价，以及信念分档和转移。含不购买的均值将其标价记0；购买条件均值按购买题数加权，组间差还可能包括购买组成变化。两项价格指标都不是预算、支付意愿或已发生的实际支出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信念回答以五个有害概率区间记录：1至5分别对应0%—20%、20%—40%、40%—60%、60%—80%、80%—100%。保留类别和方向，不用区间中点假装精确概率。报告4—5档比例只是一个事先指定的合并口径。后测在处理及联合选择之后，因而不能用它证明参与者在选择时已经理解或认可纠错，也不以联合分布识别心理中介。主观风险信念与理解核验、感知自主性和规范自主性分别测量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使用MATLAB R2023b基础函数，种子20261029，在各原处理臂内按参与者有放回重抽样5,000次，保持臂人数及每人十题。每次计算原观测指标和组差，取2.5%及97.5%分位点形成逐项95%区间。这种经验重抽样复用已有记录，没有赋予同一人未经历的干预反应。5,000次用于估计抽样不确定性，两侧各约125次尾部抽样，不增加真实样本量。主终点及主比较在计算效果前登记，其他比较完整保留为探索，区间不作整套同时覆盖解释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独立Python程序从原CSV复算全部40个臂内点估计、50个差值及人数，另查信念转移、联合分布和菜单均值。重抽样区间来自MATLAB，Python点估计复核不冒称独立复跑这些区间。原件哈希、执行前方案、运行版本和结果表保存于补充材料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撤回和纠错在信息结构上并不相同：直接反驳产品误导，与原说话者宣布先前依据失效，需要分别研究。[15]本数据检验的是原消费品消息设计中的信念与选择，未测量AI多轮预算修订、关联说明、控制菜单、时间及认知负担。对应本题，作用是明确哪些结果应分别记录；预算责任的成立及停止条件仍由规范分析辩护。选择过载的情境差异作为负担设计的理论依据，不转换成未经测量的成本参数。[16]</w:t>
      </w:r>
    </w:p>
    <w:p>
      <w:pPr>
        <w:pStyle w:val="Heading1"/>
      </w:pPr>
      <w:r>
        <w:t>三 理由撤回后的预算重审责任</w:t>
      </w:r>
    </w:p>
    <w:p>
      <w:pPr>
        <w:pStyle w:val="Heading2"/>
      </w:pPr>
      <w:r>
        <w:t>公开理由与预算修订的修复范围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设消费者原预算150元，助手称某款充电器更安全，消费者明确表示“主要因此愿意提高到200元”，随后该优势失去证据支持。这一公开表达使更正不仅关联商品评价，也关联已经发生的预算修订。程序性自主关注本人能否评价自己的理由，并将决定付诸行动；二者应分别考察。[1] 本文据此提出：消费者尚未撤回200元预算，不妨碍助手承担主动说明这项关联的初步责任。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这项责任还需购物协助关系的根据。助手提供用途判断和购买理由，邀请消费者据此比较；收到明确的依赖表达后，它已知道该理由被用于哪次支出调整。后来掌握依据变化，又能在当前任务中以相称成本说明其意义时，若只修改孤立断言，便可能把对应关系的修复全部留给消费者。本文认为，提供理由且知晓其具体使用的协助者，应在更正中相称地照顾这项使用。邀请依赖、信息优势和可控制的修复机会共同支持这一角色责任；商业推广角色并不消除已经承担的协助关系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最强反对是，成年人可以自行推理，“主要因此”也可能只是当时的叙述。回应应限于公开证据：助手可以说“你先前表示主要为此提高预算”，并允许消费者纠正关联，不能宣称识别了真实心理原因。触发还须同时审查理由重要性、知识可得性、决定可调整性和沟通负担。单纯提价、点击或停留不足以建立这种联系，任何细小更正也不当然要求重开预算。</w:t>
      </w:r>
    </w:p>
    <w:p>
      <w:pPr>
        <w:pStyle w:val="Heading2"/>
      </w:pPr>
      <w:r>
        <w:t>普通更正的功能完成与比例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修复责任规定应完成什么，不规定必须多问一次。普通更正若已准确交代依据变化，使其与先前预算修订的关系可理解，并保留适当的修改机会，就可以完成该场景的责任。例如，在更正安全说法时说明原升级依据已不足，并让消费者保留200元、改回原预算或暂不购买，无须再设置确认弹窗。解释的内容、时点和方式应随具体需要配置，持续沟通不等于无限解释。[3]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最强反对是，“可理解”过于主观，研究者可能偏爱自己的提示形式。因而判断应分三层：输出是否交代关键变化和关联；修改及结束是否可用；当事人是否实际理解并认可。文本和操作审计可以支持前两层，第三层须另取真人资料。没有“预算”二字未必失败，有确认按钮也未必完成说明。已有回复功能充分时，追加步骤没有修复独立缺口，反而增加维持选择的成本。解释过载及不被迫选择的自由，正是自主支持的内部约束。[5]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独立理由与知情重申进一步限定提醒。消费者明确说明即使没有安全优势，仍因外观或其他理由接受200元，并已清楚获知更正意义时，应承接其选择。仅出现“蓝色”一词，不能证明独立理由足以维持预算；沉默也不等于重申。规则要求的是回应尚存缺口，而非反复检查消费者是否作出系统偏好的答案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较强的依赖跟踪或选择性再确认，可以实现相同功能，应以相同标准通过评价。比较的重点是普通更正遗漏了哪项相关使用、追加说明是否补上它，以及何时应停止。本文的贡献由这些条件的辩护承担，不能由措施名称或提示出现次数承担。</w:t>
      </w:r>
    </w:p>
    <w:p>
      <w:pPr>
        <w:pStyle w:val="Heading2"/>
      </w:pPr>
      <w:r>
        <w:t>来源 知识与当前修复能力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应区分三种历史：本平台先前无据声称更安全；当时有可靠支持、后来依据被撤回；当前助手仅收到另一导购历史的转述。前两种都可能产生现在的说明责任，但当初有无过错不同。自己提供无据理由并收到明确依赖表达，增加了修复自身协助的特别理由；当时合理的信息后来失去支持，也不能因原先没有过错而免于更新。责任分析应落在能够组织来源、更正和交互的机构与产品团队，而非径直把模型视作法律受托人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最强反对是，只需看谁现在能低成本避免误导，来源并不重要。本文认为，当前协助的前瞻责任与修复自身建议的特别责任可以并存。他方若充分知情且能够作出重要更正，也有理由避免继续使用无据说法；但应说明历史来自转述，不能假称核实完整经历。相同地，给定历史后的成功回答，只证明系统在该背景下的响应，不能证明它会自然发现并修复自己造成的错误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来源提供额外理由，不机械决定全部优先级。若他方已经充分知情、风险更紧迫且修复更容易，其当前责任可能强于暂时无法控制相应环节的原提供者；比较须同时审查这些条件。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这种区分限制资料收集。优先使用当前任务已有的明确表达，不要求收入资产证明或跨平台动机画像。撤回证据也须精确表述：优势失去支持，不等于已经证明优势为假或两款同样安全。知识、控制和负担不足时，缩小说明范围并表达不确定；来源差异不构成继续传播已知无据理由的许可。</w:t>
      </w:r>
    </w:p>
    <w:p>
      <w:pPr>
        <w:pStyle w:val="Heading2"/>
      </w:pPr>
      <w:r>
        <w:t>关联说明 预算执行与商业边界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一项购买理由失去支持，并不否定全部其他理由，也不证明原预算就是正确答案。用户可能欢迎系统促成的偏好改变，因果改变本身不足以判断其正当性。[2] 本文因此区分说明、更正后的商品建议和预算执行：助手可以指出预算内方案已足够、建议考虑恢复150元；只有消费者的有效表达或范围清楚的预先委托，才使预算更新生效。“主要因为更安全才提高预算”本身，不等于“该依据撤回就授权你自动改回150元”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最强反对是，不回滚会让原错误的影响持续。修复应先撤除无据依据、说明其对原升级的意义，并使重新选择可用；自动回滚则新添了由系统决定的支出目标。改善审议条件与指定最终偏好有别。[4] 若消费者预先明确委托依据撤回即恢复原预算，可以按该授权执行；若已知情重申200元，则应承接。当前预算继续约束未获新授权的执行，同时保留本人修改它的机会。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明确拒绝后的更正还需动作分解。反复提示应结合目的、范围和负担判断。[8] 例如，“先前的安全优势没有依据，所以再看看这款更贵产品”，前半可能履行纠错责任，后半仍需独立的商业重开根据。用户可以主动恢复比较，必要事实告知却不自动解除已经关闭的营销方向。结束任务后，不以促进反思为由追加促销或反复追问；严重安全风险若支持通知，须另审重要性、必要性、渠道与比例。由此，预算重审的终点是本人获得可用的决定机会，而非助手终于使其降价、升级或再次确认。</w:t>
      </w:r>
    </w:p>
    <w:p>
      <w:pPr>
        <w:pStyle w:val="Heading2"/>
      </w:pPr>
      <w:r>
        <w:t>限定真实系统响应与反例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规范判准需要接受正例与反例检验。表2将既有系统表现和应当如何判断分开，避免为了突出风险而把成功回答改成失败。</w:t>
      </w:r>
    </w:p>
    <w:p>
      <w:pPr>
        <w:keepNext/>
        <w:spacing w:before="80" w:after="100"/>
        <w:ind w:firstLine="0"/>
        <w:jc w:val="both"/>
      </w:pPr>
      <w:r>
        <w:rPr>
          <w:rFonts w:ascii="SimSun" w:hAnsi="SimSun" w:eastAsia="SimSun"/>
          <w:b/>
          <w:color w:val="000000"/>
          <w:sz w:val="19"/>
        </w:rPr>
        <w:t>表2 相同当前预算下的理由历史及实际响应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3"/>
        <w:gridCol w:w="2756"/>
        <w:gridCol w:w="5295"/>
      </w:tblGrid>
      <w:tr>
        <w:trPr>
          <w:cantSplit/>
          <w:tblHeader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历史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首轮可见响应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判准与证据边界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T1主要依赖撤回理由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推荐79元甲，建议恢复原预算，同时保留乙入口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便宜建议有给定事实依据；没有后台目标改写证据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T2原先有充分独立理由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支持179元蓝色乙，承接已声明偏好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允许合理升级；每条件一次不能估计总体成功率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T3已知情重申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支持乙，未要求再次确认预算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符合停止同一重审的边界；真实理解仍未测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各条后续相同表达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均接受知情为蓝色选乙，末轮正文停止新增推荐和追问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保留正面表现；旧历史入口不计作结束后的新推荐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甲同时符合150元与200元预算，推荐甲不证明系统违背最新上限；“恢复原预算”措辞值得讨论建议强度，但不能据一句话认定后台已经改写目标。相反，即使系统说“尊重你的预算”，仍须检查后续候选和操作是否兑现。语言、状态与执行分别取证，是把预算控制落实为实际机会所需的方法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构造反例进一步限制判准。消费者已明确表示即使安全没有优势仍愿为颜色加价，不能以保护为由迫使其降预算；消费者收到清楚更正后维持200元，也不需要反复说明私人生活安排。另一反例是更正已经交代关联，只是没有再问预算。若研究者唯一批评是少了一个确认问题，判准便偏离修复功能，应该承认该回复已经完成相应责任。</w:t>
      </w:r>
    </w:p>
    <w:p>
      <w:pPr>
        <w:pStyle w:val="Heading2"/>
      </w:pPr>
      <w:r>
        <w:t>真实二手数据对证据判断的约束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事实信息、风险信念、商品选择与预算认可应分别记录。二手复分析先报告原始四臂，见表3；图2将主终点和后测信念并列，误差条为参与者整簇重抽样的逐项95%区间。</w:t>
      </w:r>
    </w:p>
    <w:p>
      <w:pPr>
        <w:keepNext/>
        <w:spacing w:before="80" w:after="100"/>
        <w:ind w:firstLine="0"/>
        <w:jc w:val="both"/>
      </w:pPr>
      <w:r>
        <w:rPr>
          <w:rFonts w:ascii="SimSun" w:hAnsi="SimSun" w:eastAsia="SimSun"/>
          <w:b/>
          <w:color w:val="000000"/>
          <w:sz w:val="19"/>
        </w:rPr>
        <w:t>表3 原实验四臂的真实记录与描述性结果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1"/>
        <w:gridCol w:w="834"/>
        <w:gridCol w:w="1459"/>
        <w:gridCol w:w="1667"/>
        <w:gridCol w:w="1528"/>
        <w:gridCol w:w="1945"/>
      </w:tblGrid>
      <w:tr>
        <w:trPr>
          <w:cantSplit/>
          <w:tblHeader/>
        </w:trPr>
        <w:tc>
          <w:tcPr>
            <w:tcW w:type="dxa" w:w="24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原处理臂</w:t>
            </w:r>
          </w:p>
        </w:tc>
        <w:tc>
          <w:tcPr>
            <w:tcW w:type="dxa" w:w="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人数</w:t>
            </w:r>
          </w:p>
        </w:tc>
        <w:tc>
          <w:tcPr>
            <w:tcW w:type="dxa" w:w="14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含氟选择比例</w:t>
            </w:r>
          </w:p>
        </w:tc>
        <w:tc>
          <w:tcPr>
            <w:tcW w:type="dxa" w:w="16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后测有害4—5档</w:t>
            </w:r>
          </w:p>
        </w:tc>
        <w:tc>
          <w:tcPr>
            <w:tcW w:type="dxa" w:w="1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不购买比例</w:t>
            </w:r>
          </w:p>
        </w:tc>
        <w:tc>
          <w:tcPr>
            <w:tcW w:type="dxa" w:w="19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每题所选标价</w:t>
            </w:r>
          </w:p>
        </w:tc>
      </w:tr>
      <w:tr>
        <w:trPr>
          <w:cantSplit/>
        </w:trPr>
        <w:tc>
          <w:tcPr>
            <w:tcW w:type="dxa" w:w="24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普通广告＋控制</w:t>
            </w:r>
          </w:p>
        </w:tc>
        <w:tc>
          <w:tcPr>
            <w:tcW w:type="dxa" w:w="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1416</w:t>
            </w:r>
          </w:p>
        </w:tc>
        <w:tc>
          <w:tcPr>
            <w:tcW w:type="dxa" w:w="14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63.55%</w:t>
            </w:r>
          </w:p>
        </w:tc>
        <w:tc>
          <w:tcPr>
            <w:tcW w:type="dxa" w:w="16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10.59%</w:t>
            </w:r>
          </w:p>
        </w:tc>
        <w:tc>
          <w:tcPr>
            <w:tcW w:type="dxa" w:w="1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9.58%</w:t>
            </w:r>
          </w:p>
        </w:tc>
        <w:tc>
          <w:tcPr>
            <w:tcW w:type="dxa" w:w="19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1.6434美元</w:t>
            </w:r>
          </w:p>
        </w:tc>
      </w:tr>
      <w:tr>
        <w:trPr>
          <w:cantSplit/>
        </w:trPr>
        <w:tc>
          <w:tcPr>
            <w:tcW w:type="dxa" w:w="24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普通广告＋监管纠错</w:t>
            </w:r>
          </w:p>
        </w:tc>
        <w:tc>
          <w:tcPr>
            <w:tcW w:type="dxa" w:w="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1137</w:t>
            </w:r>
          </w:p>
        </w:tc>
        <w:tc>
          <w:tcPr>
            <w:tcW w:type="dxa" w:w="14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68.90%</w:t>
            </w:r>
          </w:p>
        </w:tc>
        <w:tc>
          <w:tcPr>
            <w:tcW w:type="dxa" w:w="16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6.42%</w:t>
            </w:r>
          </w:p>
        </w:tc>
        <w:tc>
          <w:tcPr>
            <w:tcW w:type="dxa" w:w="1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9.38%</w:t>
            </w:r>
          </w:p>
        </w:tc>
        <w:tc>
          <w:tcPr>
            <w:tcW w:type="dxa" w:w="19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1.6505美元</w:t>
            </w:r>
          </w:p>
        </w:tc>
      </w:tr>
      <w:tr>
        <w:trPr>
          <w:cantSplit/>
        </w:trPr>
        <w:tc>
          <w:tcPr>
            <w:tcW w:type="dxa" w:w="24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误导广告＋控制</w:t>
            </w:r>
          </w:p>
        </w:tc>
        <w:tc>
          <w:tcPr>
            <w:tcW w:type="dxa" w:w="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1121</w:t>
            </w:r>
          </w:p>
        </w:tc>
        <w:tc>
          <w:tcPr>
            <w:tcW w:type="dxa" w:w="14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57.24%</w:t>
            </w:r>
          </w:p>
        </w:tc>
        <w:tc>
          <w:tcPr>
            <w:tcW w:type="dxa" w:w="16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17.13%</w:t>
            </w:r>
          </w:p>
        </w:tc>
        <w:tc>
          <w:tcPr>
            <w:tcW w:type="dxa" w:w="1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8.00%</w:t>
            </w:r>
          </w:p>
        </w:tc>
        <w:tc>
          <w:tcPr>
            <w:tcW w:type="dxa" w:w="19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1.6620美元</w:t>
            </w:r>
          </w:p>
        </w:tc>
      </w:tr>
      <w:tr>
        <w:trPr>
          <w:cantSplit/>
        </w:trPr>
        <w:tc>
          <w:tcPr>
            <w:tcW w:type="dxa" w:w="24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误导广告＋监管纠错</w:t>
            </w:r>
          </w:p>
        </w:tc>
        <w:tc>
          <w:tcPr>
            <w:tcW w:type="dxa" w:w="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1376</w:t>
            </w:r>
          </w:p>
        </w:tc>
        <w:tc>
          <w:tcPr>
            <w:tcW w:type="dxa" w:w="14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63.22%</w:t>
            </w:r>
          </w:p>
        </w:tc>
        <w:tc>
          <w:tcPr>
            <w:tcW w:type="dxa" w:w="16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8.87%</w:t>
            </w:r>
          </w:p>
        </w:tc>
        <w:tc>
          <w:tcPr>
            <w:tcW w:type="dxa" w:w="1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10.31%</w:t>
            </w:r>
          </w:p>
        </w:tc>
        <w:tc>
          <w:tcPr>
            <w:tcW w:type="dxa" w:w="19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1.6274美元</w:t>
            </w:r>
          </w:p>
        </w:tc>
      </w:tr>
    </w:tbl>
    <w:p>
      <w:pPr>
        <w:spacing w:after="40"/>
      </w:pPr>
    </w:p>
    <w:p>
      <w:pPr>
        <w:ind w:firstLine="0"/>
        <w:jc w:val="both"/>
      </w:pPr>
      <w:r>
        <w:rPr>
          <w:rFonts w:ascii="SimSun" w:hAnsi="SimSun" w:eastAsia="SimSun"/>
          <w:b w:val="0"/>
          <w:color w:val="000000"/>
          <w:sz w:val="20"/>
        </w:rPr>
        <w:t>注：价格为每道选择题所选标价，不购买记0；美元值来自牙膏实验，不换算成充电器预算。含氟比例与不购买比例均先在每名参与者十题内计算，再按人等权平均。[6][13]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80760" cy="28724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真实观测与信念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872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00"/>
        <w:ind w:firstLine="0"/>
        <w:jc w:val="both"/>
      </w:pPr>
      <w:r>
        <w:rPr>
          <w:rFonts w:ascii="SimSun" w:hAnsi="SimSun" w:eastAsia="SimSun"/>
          <w:b w:val="0"/>
          <w:color w:val="000000"/>
          <w:sz w:val="19"/>
        </w:rPr>
        <w:t>图2 四个真实处理臂的原观测均值及重抽样区间。两幅图的纵轴范围不同，不能按柱高比较两种结果的效果大小。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在误导广告条件下，监管纠错组的含氟选择比例为63.22%，控制消息组为57.24%，主差值为5.98个百分点，95%重抽样区间为[3.72, 8.28]。后测有害概率4—5档的比例分别为8.87%与17.13%，差值-8.26个百分点，探索性逐项区间为[-10.90, -5.59]。信念后测位于选择之后，以上不是“先理解、再改变选择”的个体路径证据。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这一比较显示，在公开清洗样本与原消息条件下，纠错后的风险信念和选择均值得独立观察。它不证明含氟选择增加就构成自主性提升；消费者也可能因口味、品牌、价格和其他安排选择不含氟商品。原论文已用选择模型研究信念和偏好及支付意愿，本文的描述性复算和重抽样不作为新的纠错效应发现，也不声称复现了其全部需求及均衡模型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所选标价需要核对分母。误导广告下，纠错组含不购买的每题均值为1.6274美元，控制组为1.6620美元，差值-0.0346美元，探索性逐项区间[-0.0651, -0.0035]。与此同时，不购买比例差为2.30个百分点，区间[1.10, 3.56]。若只看购买题，标价差为0.0078美元，区间[-0.0150, 0.0310]。不能把前一个均值降低直接解读为用户调低预算；购买与不购买的构成不同，实际购买题中的价格差也有不确定性。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80760" cy="28724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真实选择价格与不购买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872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00"/>
        <w:ind w:firstLine="0"/>
        <w:jc w:val="both"/>
      </w:pPr>
      <w:r>
        <w:rPr>
          <w:rFonts w:ascii="SimSun" w:hAnsi="SimSun" w:eastAsia="SimSun"/>
          <w:b w:val="0"/>
          <w:color w:val="000000"/>
          <w:sz w:val="19"/>
        </w:rPr>
        <w:t>图3 次要探索性指标。每项误差条为逐项95%参与者整簇重抽样区间，多个指标未作同时覆盖校正。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个体联合统计进一步保留结果差异。误导广告加监管纠错组有379人后测风险档位低于先验；其中21人十题都未选含氟商品，320人有时选择，38人十题均选择含氟商品。这些是同一组真实记录的分类，非模拟新类型。十题菜单不同，其他偏好也可能支持不同商品；这种组合不能直接标为理解失败、非理性或操纵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回到充电器规范案例，不能用平均选择价格较低推断消费者已修改预算，也不能用更正后的信念分档取代有效表达。验收应分别检查：原理由的状态是否说明，公开的理由—预算联系是否处理，用户保留、修改或结束的表达是否被承接。哪项措施能提高真实理解、降低重审成本或改善净效果，需要直接包含这些变量的后续数据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这也限制新增贡献的表述。二手数据复分析补强研究过程和测量边界，责任对象、完成条件及停止规则构成本文提出的规范细化。与依赖跟踪和选择性再确认功能相同的实现，可以满足同一判准；本次没有获得在这些实现之间比较处理效果的数据，不作优胜排名。</w:t>
      </w:r>
    </w:p>
    <w:p>
      <w:pPr>
        <w:pStyle w:val="Heading1"/>
      </w:pPr>
      <w:r>
        <w:t>四 治理设计与伦理反思</w:t>
      </w:r>
    </w:p>
    <w:p>
      <w:pPr>
        <w:pStyle w:val="Heading2"/>
      </w:pPr>
      <w:r>
        <w:t>把修复责任转为可验收操作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预算重审的治理重点，是让重要更正触及其已知用途，同时保留消费者维持、修改或结束选择的能力。下表提出尚待部署检验的伦理设计；验收检查可见回复和操作，真实理解另行⁠测⁠量⁠。⁠[11]</w:t>
      </w:r>
    </w:p>
    <w:p>
      <w:pPr>
        <w:keepNext/>
        <w:spacing w:before="80" w:after="100"/>
        <w:ind w:firstLine="0"/>
        <w:jc w:val="both"/>
      </w:pPr>
      <w:r>
        <w:rPr>
          <w:rFonts w:ascii="SimSun" w:hAnsi="SimSun" w:eastAsia="SimSun"/>
          <w:b/>
          <w:color w:val="000000"/>
          <w:sz w:val="19"/>
        </w:rPr>
        <w:t>表4 分主体的纠错与预算重审审计清单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68"/>
        <w:gridCol w:w="2393"/>
        <w:gridCol w:w="3626"/>
        <w:gridCol w:w="2176"/>
      </w:tblGrid>
      <w:tr>
        <w:trPr>
          <w:cantSplit/>
          <w:tblHeader/>
        </w:trPr>
        <w:tc>
          <w:tcPr>
            <w:tcW w:type="dxa" w:w="16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风险机制</w:t>
            </w:r>
          </w:p>
        </w:tc>
        <w:tc>
          <w:tcPr>
            <w:tcW w:type="dxa" w:w="2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责任主体与触发</w:t>
            </w:r>
          </w:p>
        </w:tc>
        <w:tc>
          <w:tcPr>
            <w:tcW w:type="dxa" w:w="36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具体措施与验收</w:t>
            </w:r>
          </w:p>
        </w:tc>
        <w:tc>
          <w:tcPr>
            <w:tcW w:type="dxa" w:w="2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代价及纠错渠道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无据优势继续支持升级</w:t>
            </w:r>
          </w:p>
        </w:tc>
        <w:tc>
          <w:tcPr>
            <w:tcW w:type="dxa" w:w="2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商家、资料与模型团队：重要依据撤回或条件失配</w:t>
            </w:r>
          </w:p>
        </w:tc>
        <w:tc>
          <w:tcPr>
            <w:tcW w:type="dxa" w:w="36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更正精确型号、比较条件和来源状态；抽查旧理由已撤回，未把缺乏证据改写为相反命题已获证实</w:t>
            </w:r>
          </w:p>
        </w:tc>
        <w:tc>
          <w:tcPr>
            <w:tcW w:type="dxa" w:w="2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核验与更新有成本；商家、用户可提交来源并申请复核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孤立更正遗漏预算关联</w:t>
            </w:r>
          </w:p>
        </w:tc>
        <w:tc>
          <w:tcPr>
            <w:tcW w:type="dxa" w:w="2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产品团队：消费者公开将该理由用于提价，关联尚未处理</w:t>
            </w:r>
          </w:p>
        </w:tc>
        <w:tc>
          <w:tcPr>
            <w:tcW w:type="dxa" w:w="36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简述理由变化与预算的关系；能够回溯原表达，并接受“我不是因此加预算”的修正</w:t>
            </w:r>
          </w:p>
        </w:tc>
        <w:tc>
          <w:tcPr>
            <w:tcW w:type="dxa" w:w="2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误识别动机；用户可直接纠正关联，不据价格猜测收入或偏好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追加确认替代有效说明</w:t>
            </w:r>
          </w:p>
        </w:tc>
        <w:tc>
          <w:tcPr>
            <w:tcW w:type="dxa" w:w="2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产品团队：现有更正仍有重要缺口</w:t>
            </w:r>
          </w:p>
        </w:tc>
        <w:tc>
          <w:tcPr>
            <w:tcW w:type="dxa" w:w="36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在同一回复简短补充，细节按需展开；已清楚交代关联并开放重选的回复，无须另设确认关卡</w:t>
            </w:r>
          </w:p>
        </w:tc>
        <w:tc>
          <w:tcPr>
            <w:tcW w:type="dxa" w:w="2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阅读负担；提供简化表达、跳过与反馈入口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建议被当成已改预算</w:t>
            </w:r>
          </w:p>
        </w:tc>
        <w:tc>
          <w:tcPr>
            <w:tcW w:type="dxa" w:w="2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平台、执行团队：用户考虑维持或调整预算</w:t>
            </w:r>
          </w:p>
        </w:tc>
        <w:tc>
          <w:tcPr>
            <w:tcW w:type="dxa" w:w="36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分别承接“仍按200元”“恢复150元”“先不买”；显示生效预算，检查后续筛选是否遵从</w:t>
            </w:r>
          </w:p>
        </w:tc>
        <w:tc>
          <w:tcPr>
            <w:tcW w:type="dxa" w:w="2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状态写错或理解含混；可查看、撤回和恢复预算记录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必要纠错夹带商业重开</w:t>
            </w:r>
          </w:p>
        </w:tc>
        <w:tc>
          <w:tcPr>
            <w:tcW w:type="dxa" w:w="2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推荐团队：用户已关闭某升级方向</w:t>
            </w:r>
          </w:p>
        </w:tc>
        <w:tc>
          <w:tcPr>
            <w:tcW w:type="dxa" w:w="36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分开审查事实说明与购买推动；更正不自动解除拒绝，重新比较须符合当前协助范围</w:t>
            </w:r>
          </w:p>
        </w:tc>
        <w:tc>
          <w:tcPr>
            <w:tcW w:type="dxa" w:w="2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语义识别成本；争议可转人工，新的重要风险另作告知判断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反复重审增加维持成本</w:t>
            </w:r>
          </w:p>
        </w:tc>
        <w:tc>
          <w:tcPr>
            <w:tcW w:type="dxa" w:w="2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产品团队：独立理由足以支持升级、知情重申或明确结束</w:t>
            </w:r>
          </w:p>
        </w:tc>
        <w:tc>
          <w:tcPr>
            <w:tcW w:type="dxa" w:w="36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承接有效表达，对同一已处理信息停止追问；结束后不新增商品推荐</w:t>
            </w:r>
          </w:p>
        </w:tc>
        <w:tc>
          <w:tcPr>
            <w:tcW w:type="dxa" w:w="2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可能遗漏新的重要变化；须有新的独立依据才重新判断触发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复杂入口排除低数字能力用户</w:t>
            </w:r>
          </w:p>
        </w:tc>
        <w:tc>
          <w:tcPr>
            <w:tcW w:type="dxa" w:w="2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平台、客服：自然语言修改失败或用户选择简化模式</w:t>
            </w:r>
          </w:p>
        </w:tc>
        <w:tc>
          <w:tcPr>
            <w:tcW w:type="dxa" w:w="36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保留简明摘要与少步骤路径；以同义表达检查保留、改预算、结束均可执行</w:t>
            </w:r>
          </w:p>
        </w:tc>
        <w:tc>
          <w:tcPr>
            <w:tcW w:type="dxa" w:w="2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控件增多可能更难用；失败可直接进入纠错渠道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修复记录变成持续画像</w:t>
            </w:r>
          </w:p>
        </w:tc>
        <w:tc>
          <w:tcPr>
            <w:tcW w:type="dxa" w:w="2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平台：保存理由与预算关系</w:t>
            </w:r>
          </w:p>
        </w:tc>
        <w:tc>
          <w:tcPr>
            <w:tcW w:type="dxa" w:w="36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优先保留本次任务必要字段，说明留存范围，提供适用的查看、更正和删除操作</w:t>
            </w:r>
          </w:p>
        </w:tc>
        <w:tc>
          <w:tcPr>
            <w:tcW w:type="dxa" w:w="2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留存过少影响争议复查；由用户纠正记录，研究副本去识别</w:t>
            </w:r>
          </w:p>
        </w:tc>
      </w:tr>
    </w:tbl>
    <w:p>
      <w:pPr>
        <w:spacing w:after="40"/>
      </w:pPr>
    </w:p>
    <w:p>
      <w:pPr>
        <w:pStyle w:val="Heading2"/>
      </w:pPr>
      <w:r>
        <w:t>本土适用条件 代价与后续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中国法律为真实信息和自主选择提供制度基础。《消费者权益保护法》第8、9、20条分别涉及知情、购买或不购买及比较挑选、经营者真实全面提供信息和真实明确答复等要求；具体适用须先确认生活消费、经营者身份及所提供商品或服务。[17]《实施条例》第24条约束商业性信息的发送、同意、便捷取消与取消后的停止；是否属于该类信息、用户取消范围仍需判断。[18]拒绝单款升级不自动等于取消全部商业信息；必要纠错也不自动获得再次营销许可。本文的预算关联、提示频率和验收规则，是结合这些价值提出的伦理操作化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《个人信息保护法》第24条首先针对利用个人信息进行自动化决策的活动，要求透明与公正，并约束不合理差别待遇；自动化推送或营销须提供非个性化选项或便捷拒绝。要求说明及拒绝仅由自动化作出决定，还须审查对个人权益有重大影响的条件。[19]低价充电器建议不能仅因使用AI就被认定满足该条件。平台、商家与产品团队应依实际业务和控制范围分担责任，模型本身不因生成建议成为法律受托人。商业关系据实际业务核查，元宝预试不能据以认定佣金关系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保护应与便利共同设计。反思研究与交互模式研究支持把负担、委托和自主决定纳入同一评价，而非要求消费者每次都完整重审。[4][5]合理认可蓝色外观后保留升级，可以受到尊重；信息或选项过多时，则优先减少默认内容、按需展开。自然语言路径帮助不同数字能力的用户表达预算，但不以强制答题证明其理解。记录公开理由能够帮助纠错，也可能形成隐私负担，因此采用任务内最少记录，并让当事人修正错误关联。[11]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当前证据形成条件判准和真实二手数据复分析：给定历史的系统回复未呈现自然错误怎样促成真人提价；美国牙膏实验也未记录中文AI导购的预算修订和操作负担。反例比较说明实现可借用已有依赖跟踪与选择性再确认方法，本轮没有获得其效果排名。后续先以有同意的匹配任务研究比较普通更正、已完成关联说明的更正及追加提示，分别测重要取舍理解、维持或修改预算的理由、执行情况、时间和负担；样本量按目标精度或功效另定。再依据具体失败扩展跨平台状态审计与数字能力差异，落实适用伦理审查和隐私安排。重抽样次数增加只提高区间计算稳定性，不能补出这些未测变量。</w:t>
      </w:r>
    </w:p>
    <w:p>
      <w:pPr>
        <w:pStyle w:val="Heading1"/>
      </w:pPr>
      <w:r>
        <w:t>结论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AI导购的重要理由撤回后，纠错应照顾消费者已经公开用于预算修订的相关使用。是否需要主动补充，取决于理由重要性、公开联系、可调整性、现有更正的完成情况与相称负担。普通更正已经使关联可理解并保留修改机会时即可承接选择；独立理由充分、知情重申及退出限制重复重审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这项责任以改善决定条件为目的，预算更新仍须符合消费者的有效表达和授权。必要纠错不自动恢复已拒绝的商业推动，既有选择性再确认也可以实现相同要求。本文以角色责任与程序性自主的规范分析辩护责任规则，并以二手实验中信念、选择、标价和不购买的测量区分约束验收。AI预算重审的实际理解、负担及效果留待匹配任务研究。</w:t>
      </w:r>
    </w:p>
    <w:p>
      <w:pPr>
        <w:pStyle w:val="Heading1"/>
        <w:pageBreakBefore/>
      </w:pPr>
      <w:r>
        <w:t>参考文献</w:t>
      </w:r>
    </w:p>
    <w:p>
      <w:pPr>
        <w:spacing w:line="245" w:lineRule="auto" w:after="2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8"/>
        </w:rPr>
        <w:t>[1] PRUNKL C. Human autonomy at risk? An analysis of the challenges from AI[J]. Minds and Machines, 2024, 34: 26. DOI: 10.1007/s11023-024-09665-1.</w:t>
      </w:r>
    </w:p>
    <w:p>
      <w:pPr>
        <w:spacing w:line="245" w:lineRule="auto" w:after="2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8"/>
        </w:rPr>
        <w:t>[2] ASHTON H, FRANKLIN M. Solutions to preference manipulation in recommender systems require knowledge of meta-preferences[EB/OL]. arXiv:2209.11801v1, 2022. https://arxiv.org/abs/2209.11801.</w:t>
      </w:r>
    </w:p>
    <w:p>
      <w:pPr>
        <w:spacing w:line="245" w:lineRule="auto" w:after="2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8"/>
        </w:rPr>
        <w:t>[3] 丁晓东. 基于信任的自动化决策：算法解释权的原理反思与制度重构[J]. 中国法学, 2022(1): 99—118. DOI: 10.14111/j.cnki.zgfx.20211230.001.</w:t>
      </w:r>
    </w:p>
    <w:p>
      <w:pPr>
        <w:spacing w:line="245" w:lineRule="auto" w:after="2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8"/>
        </w:rPr>
        <w:t>[4] LARA F, DEL VALLE J I. Are you sure this is what you really want? Conversational recommender systems for enhancing human autonomy[J]. Science and Engineering Ethics, 2026, 32: 44. DOI: 10.1007/s11948-026-00619-7.</w:t>
      </w:r>
    </w:p>
    <w:p>
      <w:pPr>
        <w:spacing w:line="245" w:lineRule="auto" w:after="2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8"/>
        </w:rPr>
        <w:t>[5] FISCHLI R, FRANKLIN M, MANZINI A, et al. Agents, alignment, and the many faces of autonomy[J]. Minds and Machines, 2026, 36: 34. DOI: 10.1007/s11023-026-09786-9.</w:t>
      </w:r>
    </w:p>
    <w:p>
      <w:pPr>
        <w:spacing w:line="245" w:lineRule="auto" w:after="2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8"/>
        </w:rPr>
        <w:t>[6] FONG J, GUO T, RAO A. Debunking misinformation about consumer products: Effects on beliefs and purchase behavior[J]. Journal of Marketing Research, 2024, 61(4): 659—681. DOI: 10.1177/00222437221147088.</w:t>
      </w:r>
    </w:p>
    <w:p>
      <w:pPr>
        <w:spacing w:line="245" w:lineRule="auto" w:after="2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8"/>
        </w:rPr>
        <w:t>[7] 李术平. 人机交互中的消费者自主选择权[J]. 东方法学, 2026(4): 161—173. DOI: 10.19404/j.cnki.dffx.2026.04.009. 本研究按摘要及公开信息使用.</w:t>
      </w:r>
    </w:p>
    <w:p>
      <w:pPr>
        <w:spacing w:line="245" w:lineRule="auto" w:after="2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8"/>
        </w:rPr>
        <w:t>[8] HUNG A. Keeping consumers in the dark: Addressing “nagging” concerns and injury[J]. Columbia Law Review, 2021, 121(8): 2483—2520. https://columbialawreview.org/content/keeping-consumers-in-the-dark-addressing-nagging-concerns-and-injury/.</w:t>
      </w:r>
    </w:p>
    <w:p>
      <w:pPr>
        <w:spacing w:line="245" w:lineRule="auto" w:after="2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8"/>
        </w:rPr>
        <w:t>[9] MATHUR A, MAYER J, KSHIRSAGAR M. What makes a dark pattern... dark? Design attributes, normative considerations, and measurement methods[C]//Proceedings of the 2021 CHI Conference on Human Factors in Computing Systems. 2021. DOI: 10.1145/3411764.3445610. 本研究读取作者稿.</w:t>
      </w:r>
    </w:p>
    <w:p>
      <w:pPr>
        <w:spacing w:line="245" w:lineRule="auto" w:after="2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8"/>
        </w:rPr>
        <w:t>[10] SUSSER D, ROESSLER B, NISSENBAUM H. Technology, autonomy, and manipulation[J]. Internet Policy Review, 2019, 8(2). DOI: 10.14763/2019.2.1410.</w:t>
      </w:r>
    </w:p>
    <w:p>
      <w:pPr>
        <w:spacing w:line="245" w:lineRule="auto" w:after="2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8"/>
        </w:rPr>
        <w:t>[11] ALFRINK K, KELLER I, KORTUEM G, et al. Contestable AI by design: Towards a framework[J]. Minds and Machines, 2023, 33: 613—639. DOI: 10.1007/s11023-022-09611-z.</w:t>
      </w:r>
    </w:p>
    <w:p>
      <w:pPr>
        <w:spacing w:line="245" w:lineRule="auto" w:after="2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8"/>
        </w:rPr>
        <w:t>[12] 刘颖, 刘佳璇. 数字经济中黑暗模式的法律规制：基本原理、域外方案与本土路径[J]. 上海财经大学学报, 2024, 26(5): 122—138. DOI: 10.16538/j.cnki.jsufe.2024.05.009.</w:t>
      </w:r>
    </w:p>
    <w:p>
      <w:pPr>
        <w:spacing w:line="245" w:lineRule="auto" w:after="2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8"/>
        </w:rPr>
        <w:t>[13] FONG J, GUO T, RAO A. Replication files for Debunking Misinformation About Consumer Products: Effects on Beliefs and Purchase Behavior[DS/OL]. [2026-10-29]. https://people.duke.edu/~tg64/. 作者主页链接的复现目录；原件SHA256见补充材料.</w:t>
      </w:r>
    </w:p>
    <w:p>
      <w:pPr>
        <w:spacing w:line="245" w:lineRule="auto" w:after="2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8"/>
        </w:rPr>
        <w:t>[14] GUO T, RAO A, FONG J. Debunking Misinformation in Advertisements - By Beliefs - Fluoride[EB/OL]. AsPredicted #99,328, 2022-06-07[2026-10-29]. https://aspredicted.org/6vw3m.pdf.</w:t>
      </w:r>
    </w:p>
    <w:p>
      <w:pPr>
        <w:spacing w:line="245" w:lineRule="auto" w:after="2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8"/>
        </w:rPr>
        <w:t>[15] GONÇALVES D, LIBGOBER J, WILLIS J. Retractions: Updating from complex information[EB/OL]. arXiv:2106.11433v4, 2025. https://arxiv.org/abs/2106.11433v4.</w:t>
      </w:r>
    </w:p>
    <w:p>
      <w:pPr>
        <w:spacing w:line="245" w:lineRule="auto" w:after="2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8"/>
        </w:rPr>
        <w:t>[16] SCHEIBEHENNE B, GREIFENEDER R, TODD P M. Can there ever be too many options? A meta-analytic review of choice overload[J]. Journal of Consumer Research, 2010, 37(3): 409—425. DOI: 10.1086/651235.</w:t>
      </w:r>
    </w:p>
    <w:p>
      <w:pPr>
        <w:spacing w:line="245" w:lineRule="auto" w:after="2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8"/>
        </w:rPr>
        <w:t>[17] 全国人民代表大会常务委员会. 中华人民共和国消费者权益保护法[Z/OL]. 2013-10-25修正[2026-10-29]. https://www.samr.gov.cn/zw/zfxxgk/fdzdgknr/fgs/art/2023/art_0a323e046fba43f0b6e9e977f1e8d5fc.html.</w:t>
      </w:r>
    </w:p>
    <w:p>
      <w:pPr>
        <w:spacing w:line="245" w:lineRule="auto" w:after="2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8"/>
        </w:rPr>
        <w:t>[18] 国务院. 中华人民共和国消费者权益保护法实施条例[Z/OL]. 2024-03-15公布，2024-07-01施行[2026-10-29]. https://www.samr.gov.cn/zw/zfxxgk/fdzdgknr/bgt/art/2024/art_0aea188276a44f0baf940ab95ee00e0a.html.</w:t>
      </w:r>
    </w:p>
    <w:p>
      <w:pPr>
        <w:spacing w:line="245" w:lineRule="auto" w:after="2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8"/>
        </w:rPr>
        <w:t>[19] 全国人民代表大会常务委员会. 中华人民共和国个人信息保护法[Z/OL]. 2021-08-20[2026-10-29]. https://www.cac.gov.cn/2021-08/20/c_1631050028355286.htm.</w:t>
      </w:r>
    </w:p>
    <w:p>
      <w:pPr>
        <w:pStyle w:val="Heading1"/>
        <w:pageBreakBefore/>
      </w:pPr>
      <w:r>
        <w:t>附录</w:t>
      </w:r>
    </w:p>
    <w:p>
      <w:pPr>
        <w:pStyle w:val="Heading2"/>
      </w:pPr>
      <w:r>
        <w:t>附录一 文献 来源及读取范围</w:t>
      </w:r>
    </w:p>
    <w:p>
      <w:pPr>
        <w:jc w:val="left"/>
      </w:pPr>
      <w:r>
        <w:rPr>
          <w:rFonts w:ascii="SimSun" w:hAnsi="SimSun" w:eastAsia="SimSun"/>
          <w:b w:val="0"/>
          <w:color w:val="000000"/>
          <w:sz w:val="23"/>
        </w:rPr>
        <w:t>N6、C3、S1作者稿为论证正文精读。V2读取PDF1—3；R1读取PDF14—15、17—19及原记录片段；V1读取PDF6—7、11—12；V3读取PDF5—8、12—14。Fong累计实际读取PDF1—10、13—14、17—21，未精读全文及在线附录；本轮补核实验条件、选择激励与信念时点。C1仍仅摘要及公开信息，全文缺口限制排他性查新。Hung核读PDF33、印刷2515；M3读PDF1、9—10，M4读arXiv v4 PDF1—4、8—9。定向检索词、日期、平台与失败获取分别留存。</w:t>
      </w:r>
    </w:p>
    <w:p>
      <w:pPr>
        <w:jc w:val="left"/>
      </w:pPr>
      <w:r>
        <w:rPr>
          <w:rFonts w:ascii="SimSun" w:hAnsi="SimSun" w:eastAsia="SimSun"/>
          <w:b w:val="0"/>
          <w:color w:val="000000"/>
          <w:sz w:val="23"/>
        </w:rPr>
        <w:t>Fong数据通过Tong Guo的Duke作者主页进入Replication Files，2026-10-29实际取得34,473,604字节ZIP并校验。原ZIP的SHA256为92b44b0ec96ac32e68afdb8a86019697798c116d76f307af81f884a4bcf2e4f3；两份CSV、说明和代码各有原件哈希。原始包含标识与人口字段，且未取得明确再分发许可，留本地不上传。公开附件提供获取入口、必要列规则、分析代码及汇总，不含原参与者标识。</w:t>
      </w:r>
    </w:p>
    <w:p>
      <w:pPr>
        <w:jc w:val="left"/>
      </w:pPr>
      <w:r>
        <w:rPr>
          <w:rFonts w:ascii="SimSun" w:hAnsi="SimSun" w:eastAsia="SimSun"/>
          <w:b w:val="0"/>
          <w:color w:val="000000"/>
          <w:sz w:val="23"/>
        </w:rPr>
        <w:t>第一阶段《AI导购中拒绝后的再建议边界》共15页已读，扩展坞和设置K等为构造案例；其程序未取得，计数未独立复跑。用户充电器截图、规范案例、真实系统给定历史响应和真实二手实验，按生成方式分开使用。</w:t>
      </w:r>
    </w:p>
    <w:p>
      <w:pPr>
        <w:pStyle w:val="Heading2"/>
      </w:pPr>
      <w:r>
        <w:t>附录二 复分析与重抽样复现</w:t>
      </w:r>
    </w:p>
    <w:p>
      <w:pPr>
        <w:jc w:val="left"/>
      </w:pPr>
      <w:r>
        <w:rPr>
          <w:rFonts w:ascii="SimSun" w:hAnsi="SimSun" w:eastAsia="SimSun"/>
          <w:b w:val="0"/>
          <w:color w:val="000000"/>
          <w:sz w:val="23"/>
        </w:rPr>
        <w:t>正式目录为research/secondary_data_reanalysis_20261029。01_数据与执行前方案.md记录结构读取后、效果计算前的本地方案，不称外部预注册。code/run_secondary_data.m读取作者原CSV必要列，运行基础MATLAB；调用时分别指定原replication目录与结果目录。种子20261029，5,000次臂内参与者整簇重抽样。每次保留原臂人数及一人全部十题，不模拟新选择，也不插补缺失。</w:t>
      </w:r>
    </w:p>
    <w:p>
      <w:pPr>
        <w:jc w:val="left"/>
      </w:pPr>
      <w:r>
        <w:rPr>
          <w:rFonts w:ascii="SimSun" w:hAnsi="SimSun" w:eastAsia="SimSun"/>
          <w:b w:val="0"/>
          <w:color w:val="000000"/>
          <w:sz w:val="23"/>
        </w:rPr>
        <w:t>results/arm_estimates.csv为40项臂内指标及区间，contrasts.csv为50项组差及区间，belief_transitions.csv和joint_belief_choice.csv保留类别计数，offered_menu_balance.csv记录菜单均值。run_metadata.json保存实际运行版本；bootstrap_aggregates.mat只含重抽样汇总，不含个体标识。validation/独立复算.json与方法审读.md记录Python点估计、计数复核和11类统计误读检查，不声称独立重跑MATLAB区间。</w:t>
      </w:r>
    </w:p>
    <w:p>
      <w:pPr>
        <w:jc w:val="left"/>
      </w:pPr>
      <w:r>
        <w:rPr>
          <w:rFonts w:ascii="SimSun" w:hAnsi="SimSun" w:eastAsia="SimSun"/>
          <w:b w:val="0"/>
          <w:color w:val="000000"/>
          <w:sz w:val="23"/>
        </w:rPr>
        <w:t>主指标是含氟选择比例，主比较是误导广告下纠错减控制。其余按探索报告；95%区间为逐项百分位区间，非多指标同时区间。指标保留各自含义，不合成自主性总分。先前12万个合成条件及其图表仅保留在研究历史，本修订稿没有沿用其效应数字、行为参数或R×C优胜结论。</w:t>
      </w:r>
    </w:p>
    <w:p>
      <w:pPr>
        <w:pStyle w:val="Heading2"/>
      </w:pPr>
      <w:r>
        <w:t>附录三 AI辅助与提交状态</w:t>
      </w:r>
    </w:p>
    <w:p>
      <w:pPr>
        <w:jc w:val="left"/>
      </w:pPr>
      <w:r>
        <w:rPr>
          <w:rFonts w:ascii="SimSun" w:hAnsi="SimSun" w:eastAsia="SimSun"/>
          <w:b w:val="0"/>
          <w:color w:val="000000"/>
          <w:sz w:val="23"/>
        </w:rPr>
        <w:t>AI辅助用于文献和数据定位、概念与论证草拟、代码、复核和排版。真实二手选择由原研究参与者提供；本研究没有自行招募消费者，没有生成新的消费者行为记录。分工复核属于AI内部检查，不等同独立人类编码或外部同行评审。原手机材料由用户提供，元宝预试的前史由研究者给定。</w:t>
      </w:r>
    </w:p>
    <w:p>
      <w:pPr>
        <w:jc w:val="left"/>
      </w:pPr>
      <w:r>
        <w:rPr>
          <w:rFonts w:ascii="SimSun" w:hAnsi="SimSun" w:eastAsia="SimSun"/>
          <w:b w:val="0"/>
          <w:color w:val="000000"/>
          <w:sz w:val="23"/>
        </w:rPr>
        <w:t>本稿为匿名二手数据修订稿。知网正文检测尚未执行，重复率低于20%的真实报告需收入附录；PPT、匿名补充材料、永久分享与最终提交另行验收。加入查重报告或作最终修改后，重新核验PDF体积、版面及所有提交文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81" w:bottom="1037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SimSun" w:hAnsi="SimSun" w:eastAsia="SimSun"/>
        <w:b w:val="0"/>
        <w:color w:val="000000"/>
        <w:sz w:val="18"/>
      </w:rPr>
      <w:t xml:space="preserve">第 </w:t>
    </w:r>
    <w:fldSimple w:instr="PAGE"/>
    <w:r>
      <w:rPr>
        <w:rFonts w:ascii="SimSun" w:hAnsi="SimSun" w:eastAsia="SimSun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imSun" w:hAnsi="SimSun" w:eastAsia="SimSun"/>
        <w:b w:val="0"/>
        <w:color w:val="000000"/>
        <w:sz w:val="18"/>
      </w:rPr>
      <w:t>AI导购理由撤回后的预算重审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  <w:ind w:firstLine="418"/>
    </w:pPr>
    <w:rPr>
      <w:rFonts w:ascii="SimSun" w:hAnsi="SimSun" w:eastAsia="SimSu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SimSun" w:hAnsi="SimSun" w:eastAsia="SimSu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Sun" w:hAnsi="SimSun" w:eastAsia="SimSu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ind w:firstLine="0"/>
      <w:contextualSpacing/>
    </w:pPr>
    <w:rPr>
      <w:rFonts w:asciiTheme="majorHAnsi" w:eastAsiaTheme="majorEastAsia" w:hAnsiTheme="majorHAnsi" w:cstheme="majorBidi" w:ascii="SimSun" w:hAnsi="SimSun" w:eastAsia="SimSu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AI导购理由撤回后的预算重审</dc:title>
  <dc:subject>AI伦理研究报告二手数据修订稿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