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2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6"/>
          <w:szCs w:val="46"/>
        </w:rPr>
        <w:t xml:space="preserve">天津建筑三维重建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color w:val="2F75B5"/>
          <w:sz w:val="34"/>
          <w:szCs w:val="34"/>
        </w:rPr>
        <w:t xml:space="preserve">论文复现总结报告（通俗版）</w:t>
      </w:r>
    </w:p>
    <w:p>
      <w:pPr>
        <w:pBdr>
          <w:bottom w:val="single" w:color="2A9D8F" w:sz="18" w:space="1"/>
        </w:pBdr>
        <w:spacing w:after="650"/>
        <w:jc w:val="center"/>
      </w:pPr>
      <w:r>
        <w:rPr>
          <w:rFonts w:ascii="Microsoft YaHei" w:cs="Microsoft YaHei" w:eastAsia="Microsoft YaHei" w:hAnsi="Microsoft YaHei"/>
          <w:color w:val="1F2933"/>
          <w:sz w:val="4"/>
          <w:szCs w:val="4"/>
        </w:rPr>
        <w:t xml:space="preserve"> 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B6573"/>
          <w:sz w:val="24"/>
          <w:szCs w:val="24"/>
        </w:rPr>
        <w:t xml:space="preserve">主要内容：方法怎么做、结果怎么样、结果该怎么理解</w:t>
      </w:r>
    </w:p>
    <w:p>
      <w:pPr>
        <w:spacing w:before="1100" w:after="100"/>
        <w:jc w:val="center"/>
      </w:pPr>
      <w:r>
        <w:rPr>
          <w:rFonts w:ascii="Microsoft YaHei" w:cs="Microsoft YaHei" w:eastAsia="Microsoft YaHei" w:hAnsi="Microsoft YaHei"/>
          <w:color w:val="5B6573"/>
          <w:sz w:val="21"/>
          <w:szCs w:val="21"/>
        </w:rPr>
        <w:t xml:space="preserve">复现目录：zjc/strict_reproduction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B6573"/>
          <w:sz w:val="21"/>
          <w:szCs w:val="21"/>
        </w:rPr>
        <w:t xml:space="preserve">2026年8月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一、先说结论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A9D8F" w:sz="3"/>
              <w:left w:val="single" w:color="2A9D8F" w:sz="14"/>
              <w:bottom w:val="single" w:color="2A9D8F" w:sz="3"/>
              <w:right w:val="single" w:color="2A9D8F" w:sz="3"/>
            </w:tcBorders>
            <w:shd w:fill="E8F5F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9D8F"/>
                <w:sz w:val="23"/>
                <w:szCs w:val="23"/>
              </w:rPr>
              <w:t xml:space="preserve">一句话结论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本项目已经从原始雷达影像出发，完整跑通了建筑轮廓投影、逐建筑相位解缠、SBAS 高程反演和建筑高度制图流程；但由于缺少 LiDAR 或逐栋实测高度，只能证明流程可执行，不能证明已经达到论文报告的外部精度。</w:t>
            </w:r>
          </w:p>
        </w:tc>
      </w:tr>
    </w:tbl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这次复现不是在已有高度图上重新配色，而是从 21 景复数 SAR 影像开始重新处理。所有没有得到可靠解的建筑都保留为空值，没有用楼层数、邻近建筑高度或外部产品补齐。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核心结果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706"/>
      </w:tblGrid>
      <w:tr>
        <w:trPr>
          <w:tblHeader/>
        </w:trP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怎么理解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SAR 影像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21 景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2023-10-07 至 2024-06-05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正式干涉网络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48 对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用于主结果的时间序列相位观测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候选高层建筑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216 栋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按论文和原代码规则恢复的研究对象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得到数值解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198 栋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存在可计算的建筑高度结果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通过内部质量门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128 栋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网络和模型内部较稳定，不等于外部精度合格</w:t>
            </w:r>
          </w:p>
        </w:tc>
      </w:tr>
      <w:tr>
        <w:tc>
          <w:tcPr>
            <w:tcW w:type="dxa" w:w="2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全量建筑矢量</w:t>
            </w:r>
          </w:p>
        </w:tc>
        <w:tc>
          <w:tcPr>
            <w:tcW w:type="dxa" w:w="19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126626 栋</w:t>
            </w:r>
          </w:p>
        </w:tc>
        <w:tc>
          <w:tcPr>
            <w:tcW w:type="dxa" w:w="47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其中 126428 栋无解并保持空值</w:t>
            </w:r>
          </w:p>
        </w:tc>
      </w:tr>
    </w:tbl>
    <w:p>
      <w:pPr>
        <w:keepNext w:val="false"/>
        <w:spacing w:line="360" w:after="15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198 栋有解建筑的高度中位数为 36.69 m，5% 和 95% 分位数分别为 4.36 m 和 95.00 m。这个分布描述的是本次反演结果，不应直接当作真实城市建筑高度分布。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67E22" w:sz="3"/>
              <w:left w:val="single" w:color="E67E22" w:sz="14"/>
              <w:bottom w:val="single" w:color="E67E22" w:sz="3"/>
              <w:right w:val="single" w:color="E67E22" w:sz="3"/>
            </w:tcBorders>
            <w:shd w:fill="FDF0E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3"/>
                <w:szCs w:val="23"/>
              </w:rPr>
              <w:t xml:space="preserve">最重要的解释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“有解”表示计算流程得到了数值；“通过内部质量门”表示不同网络和模型指标较稳定；只有与独立 LiDAR 或实测高度对比后，才能判断真实精度。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二、方法到底做了什么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可以把整套方法理解成五步：先把多期雷达影像对齐，再从不同日期的相位差中提取高程信息；同时把建筑轮廓投到雷达图像上；随后每栋建筑单独解缠；最后用 SBAS 把多期相位转换成高度。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准备影像：每个日期有两段条带，先拼接，再裁剪出与论文一致的 10000×7000 像元研究区。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配准和干涉：把 20 景辅影像精确对齐到 2023-10-07 参考景，并生成 48 对差分干涉图。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定位建筑：把地理坐标中的建筑轮廓通过 GAMMA 几何查找表投影到雷达距离—方位坐标。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逐栋解缠：每栋建筑单独建立相位网络，用 GAMMA MCF 解开相位的 2π 周期。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SBAS 反演：综合 48 对相位、垂直基线和相干性，联合估计形变速度与高程残差，再汇总为建筑高度。</w:t>
      </w:r>
    </w:p>
    <w:p>
      <w:pPr>
        <w:spacing w:before="120" w:after="80"/>
        <w:jc w:val="center"/>
      </w:pPr>
      <w:r>
        <w:drawing>
          <wp:inline distT="0" distB="0" distL="0" distR="0">
            <wp:extent cx="3429000" cy="4667250"/>
            <wp:effectExtent t="0" r="0" b="0" l="0"/>
            <wp:docPr id="1" name="图1  本次复现采用的总体技术路线" descr="图1  本次复现采用的总体技术路线" title="图1  本次复现采用的总体技术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图1  本次复现采用的总体技术路线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三、关键步骤的通俗解释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1. 为什么要精确配准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SAR 相位对像元位置非常敏感。如果不同日期的同一建筑没有落在同一个像元上，后面的相位差就会混入位置误差。复现中 20 景辅影像的距离向配准标准差约为 0.0064—0.0124 像元，方位向约为 0.0073—0.0151 像元，明显优于预先设定的 0.1 像元门槛。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2. 建筑轮廓为什么不能直接盖在 SAR 上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地图上的建筑轮廓是地面坐标，而 SAR 是侧视成像的距离—方位坐标。两者不是简单平移关系。本项目使用 SRTM、轨道参数和 GAMMA 查找表完成坐标转换，并把每栋建筑的支持域分别保存。这样即使相邻建筑在 SAR 中发生叠掩，也不会因为写入顺序让后一栋建筑抢走前一栋的像元。</w:t>
      </w:r>
    </w:p>
    <w:p>
      <w:pPr>
        <w:spacing w:before="120" w:after="80"/>
        <w:jc w:val="center"/>
      </w:pPr>
      <w:r>
        <w:drawing>
          <wp:inline distT="0" distB="0" distL="0" distR="0">
            <wp:extent cx="5810250" cy="4181475"/>
            <wp:effectExtent t="0" r="0" b="0" l="0"/>
            <wp:docPr id="1" name="图2  全部建筑轮廓投影至雷达坐标的结果" descr="图2  全部建筑轮廓投影至雷达坐标的结果" title="图2  全部建筑轮廓投影至雷达坐标的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图2  全部建筑轮廓投影至雷达坐标的结果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3. 什么是逐建筑相位解缠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雷达只能直接观测到 −π 到 π 范围内的相位，真实相位可能多绕了若干圈。传统整幅图解缠容易让道路、地面和相邻建筑之间的错误传播到目标建筑。本方法把每栋建筑当成独立区域，使用 Delaunay 三角网络和 GAMMA MCF 单独求解整数周，从空间上限制错误传播。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四、怎样从相位得到建筑高度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对一个建筑像元来说，不同干涉对的相位变化由两部分组成：一部分与时间有关，可表示平均形变速度；另一部分与垂直基线有关，可表示高程残差。SBAS 把 48 对观测放进同一个方程中，同时求出这两个未知量。相干性高的观测权重大，相干性低或残差异常的观测会被降低权重。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F75B5" w:sz="3"/>
              <w:left w:val="single" w:color="2F75B5" w:sz="14"/>
              <w:bottom w:val="single" w:color="2F75B5" w:sz="3"/>
              <w:right w:val="single" w:color="2F75B5" w:sz="3"/>
            </w:tcBorders>
            <w:shd w:fill="EAF2F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F75B5"/>
                <w:sz w:val="23"/>
                <w:szCs w:val="23"/>
              </w:rPr>
              <w:t xml:space="preserve">SBAS 模型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相位 = 时间项 × 平均形变速度 + 基线敏感度 × 高程残差 + 噪声。复现采用相干性加权求解，并使用 Bisquare 权抑制异常残差。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像元如何筛选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振幅离差 DA 不大于 0.4：多期亮度相对稳定。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平均相干性不低于 0.75：相位在时间序列中较可靠。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每个像元至少具有 12 对有效干涉观测。</w:t>
      </w:r>
    </w:p>
    <w:p>
      <w:pPr>
        <w:keepNext w:val="false"/>
        <w:spacing w:line="360" w:after="15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595973 个建筑—像元候选经过筛选后保留 25358 个高质量像元，覆盖 198 栋建筑。48 对、216 栋建筑的 GAMMA-MCF 任务全部执行完成，机器汇总中的失败数为 0。</w:t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图3  SAR 幅度、缠绕相位与两种 MCF 解缠结果对比" descr="图3  SAR 幅度、缠绕相位与两种 MCF 解缠结果对比" title="图3  SAR 幅度、缠绕相位与两种 MCF 解缠结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图3  SAR 幅度、缠绕相位与两种 MCF 解缠结果对比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五、建筑高度为什么不用简单平均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实际建筑搜索带中可能同时出现地面、立面、屋顶、叠掩和背景像元，因此这些像元不一定属于同一个等高面。论文正文建议先按 1.5 倍 IQR 去除异常值，再取中位数；原 MATLAB 则使用最大值减最小值。两者对应的物理含义并不相同。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206"/>
      </w:tblGrid>
      <w:tr>
        <w:trPr>
          <w:tblHeader/>
        </w:trPr>
        <w:tc>
          <w:tcPr>
            <w:tcW w:type="dxa" w:w="2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汇总方法</w:t>
            </w:r>
          </w:p>
        </w:tc>
        <w:tc>
          <w:tcPr>
            <w:tcW w:type="dxa" w:w="3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42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主要问题</w:t>
            </w:r>
          </w:p>
        </w:tc>
      </w:tr>
      <w:tr>
        <w:tc>
          <w:tcPr>
            <w:tcW w:type="dxa" w:w="2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IQR 后中位数</w:t>
            </w:r>
          </w:p>
        </w:tc>
        <w:tc>
          <w:tcPr>
            <w:tcW w:type="dxa" w:w="3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不容易受少量异常值影响</w:t>
            </w:r>
          </w:p>
        </w:tc>
        <w:tc>
          <w:tcPr>
            <w:tcW w:type="dxa" w:w="42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混合搜索带中可能只代表主模态，不一定是地面到屋顶高度</w:t>
            </w:r>
          </w:p>
        </w:tc>
      </w:tr>
      <w:tr>
        <w:tc>
          <w:tcPr>
            <w:tcW w:type="dxa" w:w="2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最大值减最小值</w:t>
            </w:r>
          </w:p>
        </w:tc>
        <w:tc>
          <w:tcPr>
            <w:tcW w:type="dxa" w:w="3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保留垂直跨度的直观含义</w:t>
            </w:r>
          </w:p>
        </w:tc>
        <w:tc>
          <w:tcPr>
            <w:tcW w:type="dxa" w:w="42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一个错误周或噪声点就可能把高度拉得很大</w:t>
            </w:r>
          </w:p>
        </w:tc>
      </w:tr>
      <w:tr>
        <w:tc>
          <w:tcPr>
            <w:tcW w:type="dxa" w:w="22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P95−P05</w:t>
            </w:r>
          </w:p>
        </w:tc>
        <w:tc>
          <w:tcPr>
            <w:tcW w:type="dxa" w:w="3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保留稳健垂直跨度，降低极端值影响</w:t>
            </w:r>
          </w:p>
        </w:tc>
        <w:tc>
          <w:tcPr>
            <w:tcW w:type="dxa" w:w="42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属于本项目披露的工程修正，不是论文原公式</w:t>
            </w:r>
          </w:p>
        </w:tc>
      </w:tr>
    </w:tbl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正式地图使用 P95−P05 作为推荐高度，同时在结果表中保留论文中位数和原代码全极差，方便后续比较。这样做没有读取楼层高度，也没有把先验值写回结果。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A9D8F" w:sz="3"/>
              <w:left w:val="single" w:color="2A9D8F" w:sz="14"/>
              <w:bottom w:val="single" w:color="2A9D8F" w:sz="3"/>
              <w:right w:val="single" w:color="2A9D8F" w:sz="3"/>
            </w:tcBorders>
            <w:shd w:fill="E8F5F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9D8F"/>
                <w:sz w:val="23"/>
                <w:szCs w:val="23"/>
              </w:rPr>
              <w:t xml:space="preserve">关于地面高度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SRTM 地面椭球高程的中位数约为 −2.27 m。天津地区出现负椭球高是高程基准转换后的正常几何结果，不表示建筑位于地下。屋顶椭球高程等于地面椭球高程加反演建筑高度。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六、最终结果</w:t>
      </w:r>
    </w:p>
    <w:p>
      <w:pPr>
        <w:spacing w:before="120" w:after="80"/>
        <w:jc w:val="center"/>
      </w:pPr>
      <w:r>
        <w:drawing>
          <wp:inline distT="0" distB="0" distL="0" distR="0">
            <wp:extent cx="5429250" cy="4105275"/>
            <wp:effectExtent t="0" r="0" b="0" l="0"/>
            <wp:docPr id="1" name="图4  本次 GAMMA-MCF + SBAS 建筑高度反演图" descr="图4  本次 GAMMA-MCF + SBAS 建筑高度反演图" title="图4  本次 GAMMA-MCF + SBAS 建筑高度反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5B6573"/>
          <w:sz w:val="19"/>
          <w:szCs w:val="19"/>
        </w:rPr>
        <w:t xml:space="preserve">图4  本次 GAMMA-MCF + SBAS 建筑高度反演图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rPr>
          <w:tblHeader/>
        </w:trP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统计量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建筑高度</w:t>
            </w:r>
          </w:p>
        </w:tc>
      </w:tr>
      <w:t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5% 分位数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4.36 m</w:t>
            </w:r>
          </w:p>
        </w:tc>
      </w:tr>
      <w:t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25% 分位数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14.61 m</w:t>
            </w:r>
          </w:p>
        </w:tc>
      </w:tr>
      <w:t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中位数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36.69 m</w:t>
            </w:r>
          </w:p>
        </w:tc>
      </w:tr>
      <w:t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75% 分位数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59.64 m</w:t>
            </w:r>
          </w:p>
        </w:tc>
      </w:tr>
      <w:tr>
        <w:tc>
          <w:tcPr>
            <w:tcW w:type="dxa" w:w="5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95% 分位数</w:t>
            </w:r>
          </w:p>
        </w:tc>
        <w:tc>
          <w:tcPr>
            <w:tcW w:type="dxa" w:w="4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95.00 m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内部稳定性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为检查论文中“48 对”和“时间基线不超过 44 天”的矛盾，项目另建了 45 对网络。48 对结果减去 45 对结果的建筑高度差中位数为 0.10 m，5% 和 95% 分位数为 −3.26 m 和 3.02 m。这说明额外的 3 个 55 天干涉对不是当前误差的主要来源。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相位残差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25358 个像元的形式高度标准差中位数为 5.34 m，相位残差 RMS 中位数为 2.79 rad。残差仍然偏大，因此最终结果带有质量状态，不能只凭图面颜色判断高度是否准确。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七、先验高度有没有影响结果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A9D8F" w:sz="3"/>
              <w:left w:val="single" w:color="2A9D8F" w:sz="14"/>
              <w:bottom w:val="single" w:color="2A9D8F" w:sz="3"/>
              <w:right w:val="single" w:color="2A9D8F" w:sz="3"/>
            </w:tcBorders>
            <w:shd w:fill="E8F5F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9D8F"/>
                <w:sz w:val="23"/>
                <w:szCs w:val="23"/>
              </w:rPr>
              <w:t xml:space="preserve">结论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没有用 Floor×层高填充、校正或筛选正式高度。126428 栋无解建筑全部保持为空值。</w:t>
            </w:r>
          </w:p>
        </w:tc>
      </w:tr>
    </w:tbl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Floor 只用于恢复论文关注的高层候选建筑和原代码搜索带几何。SBAS 反演脚本不读取 Floor，建筑高度冻结后才单独生成楼层对照表。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后验检查中，Floor×3 m 与正式结果的相关系数约为 0.44，中位绝对差约为 68.88 m。这个差异没有反向用于调参或修图。它提醒我们：当前结果与楼层信息并不一致，但楼层本身也不是独立测量真值，不能用它把结果改成“看起来合理”。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论文和原代码中最关键的差异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106"/>
      </w:tblGrid>
      <w:tr>
        <w:trPr>
          <w:tblHeader/>
        </w:trP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原文或原代码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本次处理</w:t>
            </w:r>
          </w:p>
        </w:tc>
      </w:tr>
      <w:t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干涉网络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48 对与最大 44 天互相矛盾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48 对主结果，45 对敏感性检查</w:t>
            </w:r>
          </w:p>
        </w:tc>
      </w:tr>
      <w:t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建筑重叠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原代码按顺序覆盖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每栋建筑独立保留支持域</w:t>
            </w:r>
          </w:p>
        </w:tc>
      </w:tr>
      <w:t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相位解缠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正文 MCF，MATLAB 实际 LSMR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正式调用 GAMMA mcf</w:t>
            </w:r>
          </w:p>
        </w:tc>
      </w:tr>
      <w:t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相位参考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第一像元置零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固定远距侧高质量参考点</w:t>
            </w:r>
          </w:p>
        </w:tc>
      </w:tr>
      <w:tr>
        <w:tc>
          <w:tcPr>
            <w:tcW w:type="dxa" w:w="21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高度汇总</w:t>
            </w:r>
          </w:p>
        </w:tc>
        <w:tc>
          <w:tcPr>
            <w:tcW w:type="dxa" w:w="33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正文中位数，代码全极差</w:t>
            </w:r>
          </w:p>
        </w:tc>
        <w:tc>
          <w:tcPr>
            <w:tcW w:type="dxa" w:w="41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两者保留，正式图采用披露的 P95−P05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八、哪些结论现在还不能说</w:t>
      </w:r>
    </w:p>
    <w:p>
      <w:pPr>
        <w:keepNext w:val="false"/>
        <w:spacing w:line="360" w:after="150"/>
        <w:ind w:firstLine="44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当前资料缺少逐栋 LiDAR 或实测建筑高度、作者人工筛选的 79 栋验证建筑清单、论文版本的 GBA/CNBH-10 m 产品和整幅传统全景 MCF 高程栅格。因此以下说法目前没有足够证据：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不能说本次结果已经达到论文给出的高度精度。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不能把 128 栋内部质量通过建筑称为“实测验证通过”。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不能用 Floor×3 m 同时作为初始化、调参依据和验证真值。</w:t>
      </w:r>
    </w:p>
    <w:p>
      <w:pPr>
        <w:pStyle w:val="ListParagraph"/>
        <w:numPr>
          <w:ilvl w:val="0"/>
          <w:numId w:val="3"/>
        </w:numPr>
        <w:spacing w:line="330" w:after="10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不能把缺失的 GBA、CNBH 或传统全景 MCF 面板补成看似完整的对比结果。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下一步最有价值的工作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获得逐栋 LiDAR 或测量高度，并建立可靠的建筑 ID 对照。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增加另一轨向或视向 SAR，帮助判断独立建筑的整数周歧义。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增加高质量长垂直基线干涉对，提高高程敏感度。</w:t>
      </w:r>
    </w:p>
    <w:p>
      <w:pPr>
        <w:pStyle w:val="ListParagraph"/>
        <w:numPr>
          <w:ilvl w:val="0"/>
          <w:numId w:val="2"/>
        </w:numPr>
        <w:spacing w:line="340" w:after="130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将新增真值分为调参与独立验证两部分，避免同一数据既参与估计又参与评价。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67E22" w:sz="3"/>
              <w:left w:val="single" w:color="E67E22" w:sz="14"/>
              <w:bottom w:val="single" w:color="E67E22" w:sz="3"/>
              <w:right w:val="single" w:color="E67E22" w:sz="3"/>
            </w:tcBorders>
            <w:shd w:fill="FDF0E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3"/>
                <w:szCs w:val="23"/>
              </w:rPr>
              <w:t xml:space="preserve">最终判断</w:t>
            </w:r>
          </w:p>
          <w:p>
            <w:pPr>
              <w:spacing w:line="330" w:after="0"/>
            </w:pPr>
            <w:r>
              <w:rPr>
                <w:rFonts w:ascii="Microsoft YaHei" w:cs="Microsoft YaHei" w:eastAsia="Microsoft YaHei" w:hAnsi="Microsoft YaHei"/>
                <w:color w:val="1F2933"/>
                <w:sz w:val="21"/>
                <w:szCs w:val="21"/>
              </w:rPr>
              <w:t xml:space="preserve">本项目完成的是“可执行、可追溯的论文方法复现”，而不是“论文外部精度的独立确认”。它的主要价值是跑通真实数据流程、找出论文与代码差异，并把不能验证的部分诚实保留下来。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九、主要成果文件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像元级 SBAS 解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results/paper_strict/pixel_height_independent_mcf_fixed_far_48.npz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198 栋有解建筑表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results/paper_strict/building_height_final.csv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全量建筑矢量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results/paper_strict/building_height_final.gpkg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先验后验审计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results/paper_strict/floor_prior_posthoc_audit.csv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严格结果图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results/figures/（6 张 SVG）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论文版式图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results/paper_figure_reproduction/（14 张 SVG）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补充论文图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results/footprint_constrained_paper/（8 张 SVG）</w:t>
            </w:r>
          </w:p>
        </w:tc>
      </w:tr>
      <w:tr>
        <w:tc>
          <w:tcPr>
            <w:tcW w:type="dxa" w:w="3000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机器检查</w:t>
            </w:r>
          </w:p>
        </w:tc>
        <w:tc>
          <w:tcPr>
            <w:tcW w:type="dxa" w:w="6506"/>
            <w:tcBorders>
              <w:top w:val="single" w:color="D3DBE3" w:sz="4"/>
              <w:left w:val="single" w:color="D3DBE3" w:sz="4"/>
              <w:bottom w:val="single" w:color="D3DBE3" w:sz="4"/>
              <w:right w:val="single" w:color="D3DBE3" w:sz="4"/>
            </w:tcBorders>
            <w:shd w:fill="F3F5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0"/>
                <w:szCs w:val="20"/>
              </w:rPr>
              <w:t xml:space="preserve">inventory/final_reproduction_validation.json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F75B5"/>
        </w:rPr>
        <w:t xml:space="preserve">报告口径</w:t>
      </w:r>
    </w:p>
    <w:p>
      <w:pPr>
        <w:keepNext w:val="false"/>
        <w:spacing w:line="360" w:after="150"/>
        <w:jc w:val="both"/>
      </w:pPr>
      <w:r>
        <w:rPr>
          <w:rFonts w:ascii="Microsoft YaHei" w:cs="Microsoft YaHei" w:eastAsia="Microsoft YaHei" w:hAnsi="Microsoft YaHei"/>
          <w:color w:val="1F2933"/>
          <w:sz w:val="22"/>
          <w:szCs w:val="22"/>
        </w:rPr>
        <w:t xml:space="preserve">本文档面向方法与结果理解，省略了大部分命令行参数和中间文件细节。完整参数、论文与代码差异及机器审计记录见 docs/00—05 系列文档。</w:t>
      </w:r>
    </w:p>
    <w:sectPr>
      <w:headerReference w:type="default" r:id="rId6"/>
      <w:footerReference w:type="default" r:id="rId7"/>
      <w:pgSz w:w="11906" w:h="16838" w:orient="portrait"/>
      <w:pgMar w:top="1120" w:right="1200" w:bottom="1120" w:left="1200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573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57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8D8" w:sz="4" w:space="2"/>
      </w:pBdr>
      <w:jc w:val="right"/>
    </w:pPr>
    <w:r>
      <w:rPr>
        <w:rFonts w:ascii="Microsoft YaHei" w:cs="Microsoft YaHei" w:eastAsia="Microsoft YaHei" w:hAnsi="Microsoft YaHei"/>
        <w:color w:val="5B6573"/>
        <w:sz w:val="18"/>
        <w:szCs w:val="18"/>
      </w:rPr>
      <w:t xml:space="preserve">天津建筑三维重建论文复现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  <w:jc w:val="center"/>
    </w:pPr>
    <w:rPr>
      <w:rFonts w:ascii="Microsoft YaHei" w:cs="Microsoft YaHei" w:eastAsia="Microsoft YaHei" w:hAnsi="Microsoft YaHei"/>
      <w:b/>
      <w:bCs/>
      <w:color w:val="1F4E79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9D8F" w:sz="8" w:space="4"/>
      </w:pBdr>
      <w:spacing w:before="300" w:after="1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20" w:after="120"/>
      <w:outlineLvl w:val="1"/>
    </w:pPr>
    <w:rPr>
      <w:rFonts w:ascii="Microsoft YaHei" w:cs="Microsoft YaHei" w:eastAsia="Microsoft YaHei" w:hAnsi="Microsoft YaHei"/>
      <w:b/>
      <w:bCs/>
      <w:color w:val="2F75B5"/>
      <w:sz w:val="27"/>
      <w:szCs w:val="27"/>
    </w:rPr>
  </w:style>
  <w:style w:type="paragraph" w:styleId="Caption">
    <w:name w:val="Caption"/>
    <w:basedOn w:val="Normal"/>
    <w:next w:val="Normal"/>
    <w:qFormat/>
    <w:pPr>
      <w:spacing w:after="180"/>
      <w:jc w:val="center"/>
    </w:pPr>
    <w:rPr>
      <w:rFonts w:ascii="Microsoft YaHei" w:cs="Microsoft YaHei" w:eastAsia="Microsoft YaHei" w:hAnsi="Microsoft YaHei"/>
      <w:color w:val="5B6573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376302bf70d08c0af8ba9562abb9e4e91ab19bc.png"/><Relationship Id="rId9" Type="http://schemas.openxmlformats.org/officeDocument/2006/relationships/image" Target="media/ecb3b6b9946cf2041764e1773529e660e0de4a48.png"/><Relationship Id="rId10" Type="http://schemas.openxmlformats.org/officeDocument/2006/relationships/image" Target="media/78bf8b7c90c6181a7f5c036ee4f1a4bee4daff5d.png"/><Relationship Id="rId11" Type="http://schemas.openxmlformats.org/officeDocument/2006/relationships/image" Target="media/63a0611476ba45ae7b3fa9db2473a75d0aee0005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天津建筑三维重建论文复现总结报告（通俗版）</dc:title>
  <dc:subject>GAMMA-MCF 与 SBAS 建筑高度反演方法及结果总结</dc:subject>
  <dc:creator>Codex</dc:creator>
  <dc:description>基于真实复现结果编写的通俗版 Word 报告</dc:description>
  <cp:lastModifiedBy>Un-named</cp:lastModifiedBy>
  <cp:revision>1</cp:revision>
  <dcterms:created xsi:type="dcterms:W3CDTF">2026-08-28T08:15:42.102Z</dcterms:created>
  <dcterms:modified xsi:type="dcterms:W3CDTF">2026-08-28T08:15:42.102Z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