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F5B6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火星熔岩管AI自主工业基地 开源工程项目（纯工程落地整合版）</w:t>
      </w:r>
    </w:p>
    <w:p w14:paraId="47D1D5B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开篇定调：项目核心本质</w:t>
      </w:r>
      <w:bookmarkEnd w:id="0"/>
    </w:p>
    <w:p w14:paraId="65F21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本项目区别于市面所有火星科幻概念、资本融资类太空项目，彻底摒弃话题炒作、估值叙事、空泛宏大叙事，</w:t>
      </w:r>
      <w:r>
        <w:rPr>
          <w:rFonts w:ascii="Arial" w:hAnsi="Arial" w:eastAsia="等线" w:cs="Arial"/>
          <w:b/>
          <w:sz w:val="22"/>
        </w:rPr>
        <w:t>唯一核心评判标准为火星现场可落地、工程可闭环、长期可生存、全流程可计算</w:t>
      </w:r>
      <w:r>
        <w:rPr>
          <w:rFonts w:ascii="Arial" w:hAnsi="Arial" w:eastAsia="等线" w:cs="Arial"/>
          <w:sz w:val="22"/>
        </w:rPr>
        <w:t>。所有设计、参数、工法、规划均服务于「可实际建成、可自主运转、可不依赖地球长期续命」，无虚设概念、无噱头包装、无可落地性存疑的内容，是一套纯工程导向、全链路可执行的火星工业化开源方案。</w:t>
      </w:r>
    </w:p>
    <w:p w14:paraId="78707AB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项目总述</w:t>
      </w:r>
      <w:bookmarkEnd w:id="1"/>
    </w:p>
    <w:p w14:paraId="46FFF69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项目定位</w:t>
      </w:r>
      <w:bookmarkEnd w:id="2"/>
    </w:p>
    <w:p w14:paraId="4CC9FF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首个完全开源、无资本门槛、全专业协同共建的火星工业化落地蓝图。严格遵循地球百年工程落地逻辑，坚守「先定基准、再测全域、后仿后建、步步闭环」的核心准则，拒绝科幻架空与融资话术。面向土木、地质、机械、电气、材料、工业工艺、AI、航天等全领域从业者、研究者开放共建，目标是搭建人类首套可分步验证、可直接施工落地、可自我造血、可长期存续的火星自主工业完整体系。</w:t>
      </w:r>
    </w:p>
    <w:p w14:paraId="64899072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核心宗旨</w:t>
      </w:r>
      <w:bookmarkEnd w:id="3"/>
    </w:p>
    <w:p w14:paraId="22CDC9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星工业化文明无法依靠单人、单一专业完成，唯有依托开源协作模式，集合各领域专业力量，逐点夯实工程细节、抠实每一项落地参数，才能将太空构想转化为零翻车、可落地的工程现实。项目全程公开、无版权、无参与门槛，坚守「只讲落地、不讲故事」原则，所有参与者共建共享全部成果。</w:t>
      </w:r>
    </w:p>
    <w:p w14:paraId="60E9767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 项目强制基础约束铁律（全设计唯一基准）</w:t>
      </w:r>
      <w:bookmarkEnd w:id="4"/>
    </w:p>
    <w:p w14:paraId="630224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本章节为火星原生固定物理、环境、工程约束，所有模块设计、设备选型、材料适配、施工工法、场地布局、系统规划必须严格遵守，无需额外外部资料佐证，为项目唯一底层基准：</w:t>
      </w:r>
    </w:p>
    <w:p w14:paraId="5393539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重力环境约束</w:t>
      </w:r>
      <w:bookmarkEnd w:id="5"/>
    </w:p>
    <w:p w14:paraId="7EE999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星表面重力为地球的3/8（0.38g），直接影响结构荷载设计、设备减震方案、地基沉降控制、边坡稳定性、现场物料运输、机器人行走稳定性，同时改变混凝土收缩、开裂特性，所有土建与设备安装工程需针对性适配低重力工况。</w:t>
      </w:r>
    </w:p>
    <w:p w14:paraId="36F5B76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大气与风沙环境约束</w:t>
      </w:r>
      <w:bookmarkEnd w:id="6"/>
    </w:p>
    <w:p w14:paraId="37D1C2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星大气密度仅为地球1%，无有效氧气与气压保护；全球性沙尘暴频发，沙尘颗粒细小、带静电、强磨损性，易覆盖设备、堵塞管路、磨损构件、干扰电气信号。因此所有设备必须全封闭防尘设计，禁止外露缝隙、散热孔、裸露结构；无法采用空气风冷散热、无法依靠大气实现自然防火、自然降温，需配套专属密闭散热、防火体系。</w:t>
      </w:r>
    </w:p>
    <w:p w14:paraId="27875CC6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2.3 宇宙辐射环境约束</w:t>
      </w:r>
      <w:bookmarkEnd w:id="7"/>
    </w:p>
    <w:p w14:paraId="029370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星无全球磁场与厚大气层屏蔽，宇宙射线、太阳辐射强度远高于地球，会造成高分子材料老化脆化、电子器件失效、线路绝缘层衰减、结构材料疲劳损伤。核心约束要求：外露设备、线缆、结构必须具备抗辐射性能；AI中枢、储能系统、核心控制设备全部布置于熔岩管岩层内部，依托天然岩层实现被动辐射屏蔽。</w:t>
      </w:r>
    </w:p>
    <w:p w14:paraId="74F812BD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2.4 极端温差环境约束（工程核心约束）</w:t>
      </w:r>
      <w:bookmarkEnd w:id="8"/>
    </w:p>
    <w:p w14:paraId="39245B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星地表极端温度区间为-125℃~+60℃，昼夜最大温差接近180℃；熔岩管内部环境稳定，常年恒温-20℃~0℃，无剧烈温度波动。极端温差带来四大硬性工程限制：普通橡胶、PVC、塑料材质低温下直接脆裂失效；水结冰体积膨胀9%，可直接撑裂混凝土、管路、水箱、阀门；金属结构热胀冷缩应力极大，外露构件易疲劳开裂；所有施工、养护、物料搅拌用水必须恒温管控，严禁自由水暴露在低温环境中。</w:t>
      </w:r>
    </w:p>
    <w:p w14:paraId="71B4B04B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2.5 地质与灾害环境约束</w:t>
      </w:r>
      <w:bookmarkEnd w:id="9"/>
    </w:p>
    <w:p w14:paraId="6A8932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星存在浅层地震、围岩蠕变、岩体裂隙扩展、地下冰消融塌陷、边坡滑移等地质风险；天然熔岩管存在围岩破碎、危岩落石隐患。据此要求：全域坐标原点必须锚固于完整基岩，杜绝沉降位移；所有工业厂房、核心设备仅布置于地质稳定洞段；所有结构设计需兼容震动、蠕变工况，保障长期稳定性。同时需按火星浅层地震设防等级做结构安全冗余设计，围岩支护预留合理变形余量，主动抵消岩体长期蠕变效应，杜绝洞体缓慢变形、开裂、失稳坍塌风险。</w:t>
      </w:r>
    </w:p>
    <w:p w14:paraId="2E7D8C0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2.6 补给与外援约束（生存铁律）</w:t>
      </w:r>
      <w:bookmarkEnd w:id="10"/>
    </w:p>
    <w:p w14:paraId="58387E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火发射窗口每26个月一次，物资运输成本极高、周期极长；火星本地无社会分工、无维修人员、无备件供应链、无任何应急外援。核心设计原则：杜绝单点故障引发全线瘫痪，关键设备多重冗余配置；所有易损件支持火星本地生产、3D打印修复；整体设备设计极简化，减少活动部件，最大化提升可靠性与自持能力。</w:t>
      </w:r>
    </w:p>
    <w:p w14:paraId="77CFF7F4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 全周期项目时间规划（分阶段可落地节奏）</w:t>
      </w:r>
      <w:bookmarkEnd w:id="11"/>
    </w:p>
    <w:p w14:paraId="049637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项目遵循「先设计定稿、再仿真验证、后落地施工、逐步迭代闭环」的逻辑，划分六大阶段，节奏清晰、层层递进，保障工程落地可信度：</w:t>
      </w:r>
    </w:p>
    <w:p w14:paraId="3BDD078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3.1 2026–2030 开源方案完善期</w:t>
      </w:r>
      <w:bookmarkEnd w:id="12"/>
    </w:p>
    <w:p w14:paraId="6E3318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完成全域坐标系、卫星勘测体系、土建基建、工业产线、特种材料、成套设备、冗余安全系统的全体系方案定稿，统一所有工程标准与设计规范。</w:t>
      </w:r>
    </w:p>
    <w:p w14:paraId="503EB268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3.2 2030–2040 数字孪生仿真验证期</w:t>
      </w:r>
      <w:bookmarkEnd w:id="13"/>
    </w:p>
    <w:p w14:paraId="6AB62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搭建完整火星基地数字孪生模型，跑通全流程工程仿真，完成设备模拟测试、场地布局优化、全场景故障推演，规避落地风险，固化施工与运营标准。</w:t>
      </w:r>
    </w:p>
    <w:p w14:paraId="3E29C60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3.3 2040–2050 第一阶段火星开工期</w:t>
      </w:r>
      <w:bookmarkEnd w:id="14"/>
    </w:p>
    <w:p w14:paraId="12ED50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开展火星现场永久坐标原点建设、全域高精度地质与地形勘测、标准化地基施工，搭建简易基础工业产线，实现无人化基础工程落地。</w:t>
      </w:r>
    </w:p>
    <w:p w14:paraId="2DEB43A6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3.4 2050–2070 基础工业闭环期</w:t>
      </w:r>
      <w:bookmarkEnd w:id="15"/>
    </w:p>
    <w:p w14:paraId="6E7E03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实现钢筋、特种建材、基础机械构件、简易工业设备的火星本地自主生产，完成基础工业链路闭环，摆脱地球基础物资依赖。</w:t>
      </w:r>
    </w:p>
    <w:p w14:paraId="4F0397E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3.5 2070–2090 完全自主工业文明期</w:t>
      </w:r>
      <w:bookmarkEnd w:id="16"/>
    </w:p>
    <w:p w14:paraId="0ECF3D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建成可自我复制、自主扩建、全链路自主维修的完整工业生态，基地系统稳定自持、迭代升级，形成成熟的火星本土工业体系。</w:t>
      </w:r>
    </w:p>
    <w:p w14:paraId="5A977B4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3.6 2090年后 火星商业航天运营期</w:t>
      </w:r>
      <w:bookmarkEnd w:id="17"/>
    </w:p>
    <w:p w14:paraId="1E022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建成火星本土发射场，完善航天配套设施，对外开放卫星发射、深空探测配套服务，形成太空商业盈利闭环，反哺基地持续扩张。</w:t>
      </w:r>
    </w:p>
    <w:p w14:paraId="287EAC0B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4. 工程绝对原点：永久坐标系与数字孪生底座</w:t>
      </w:r>
      <w:bookmarkEnd w:id="18"/>
    </w:p>
    <w:p w14:paraId="377982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本章节为全项目不可动摇的总纲，所有设计、施工、布局、设备安装、机器人导航、定位校准均以此为唯一终极基准。</w:t>
      </w:r>
    </w:p>
    <w:p w14:paraId="226389B3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4.1 战略先发优势</w:t>
      </w:r>
      <w:bookmarkEnd w:id="19"/>
    </w:p>
    <w:p w14:paraId="37F3A0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前人类暂无统一的火星工程基准体系，率先定义火星永久零点、全域工程坐标系、数字孪生底座，可主导未来火星基建、采矿、工业布局的行业标准，掌握火星开发底层规则话语权。同时采用「卫星全域普查+地面机器人精勘」模式，替代低效人工逐点探测，勘测效率提升百倍，实现高效、精准的全域数据采集。</w:t>
      </w:r>
    </w:p>
    <w:p w14:paraId="135AE985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4.2 原点选址五大硬性铁律</w:t>
      </w:r>
      <w:bookmarkEnd w:id="20"/>
    </w:p>
    <w:p w14:paraId="2E0D73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坐标原点一旦沉降、位移、偏移，将导致全基地坐标系作废，所有基建、产线、管道、智能设备定位全部错位报废，因此选址必须满足五项不可突破标准：</w:t>
      </w:r>
    </w:p>
    <w:p w14:paraId="11B607F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基岩完整致密：坐落于连续、无缺陷的玄武岩基岩之上，无浮土、风化层、松散填充物、地下冰体，从根源杜绝沉降、滑移、塌陷风险。</w:t>
      </w:r>
    </w:p>
    <w:p w14:paraId="3950DF3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地质极度稳定：远离活动断层、震源区、熔岩管破碎带、边坡危岩区，无长期围岩蠕变隐患。</w:t>
      </w:r>
    </w:p>
    <w:p w14:paraId="01BFD89A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无掩埋风险：选址地势高位，高于周边区域，可永久规避沙尘暴粉尘堆积、倒灌掩埋问题。</w:t>
      </w:r>
    </w:p>
    <w:p w14:paraId="6324100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全域通视标定：视野开阔，可全覆盖周边熔岩管群与规划工业区，满足机器人导航、信标标定、坐标校正需求。</w:t>
      </w:r>
    </w:p>
    <w:p w14:paraId="46D009BA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可工程锚固：支持深孔合金锚固施工，可与原生基岩刚性锁死，实现物理层面永久固定、零位移。</w:t>
      </w:r>
    </w:p>
    <w:p w14:paraId="4B3F7EE5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4.3 永久锚固原点结构设计</w:t>
      </w:r>
      <w:bookmarkEnd w:id="21"/>
    </w:p>
    <w:p w14:paraId="260AB4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坐标原点并非简易标记，而是与火星基岩一体化融合的永久性工程基准桩，核心设计：深孔钻进基岩，植入高强度钛合金锚固锚栓；采用火星原位烧结材料灌注锚固，实现膨胀咬合、终身不松动；地表设置高精度基准标定桩，刻印永久标识；内置毫米级位移、沉降、倾角监测传感器，实时监控结构稳定性；支持微小偏移自动校正，保障全域设计终身有效。</w:t>
      </w:r>
    </w:p>
    <w:p w14:paraId="70E3E4FC">
      <w:pPr>
        <w:spacing w:before="300" w:after="120" w:line="288" w:lineRule="auto"/>
        <w:ind w:left="0"/>
        <w:jc w:val="left"/>
        <w:outlineLvl w:val="2"/>
      </w:pPr>
      <w:bookmarkStart w:id="22" w:name="heading_22"/>
      <w:r>
        <w:rPr>
          <w:rFonts w:ascii="Arial" w:hAnsi="Arial" w:eastAsia="等线" w:cs="Arial"/>
          <w:b/>
          <w:sz w:val="30"/>
        </w:rPr>
        <w:t>4.4 全域三维工程坐标系标准</w:t>
      </w:r>
      <w:bookmarkEnd w:id="22"/>
    </w:p>
    <w:p w14:paraId="29F46D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锚固原点为绝对（0,0,0）基准点，建立唯一、统一、终身不变的三维直角工程坐标系：X轴沿熔岩管主通道延伸，对应工业主物流流向；Y轴为横向宽度方向，管控洞室截面、厂房跨度、管线排布；Z轴为垂直高程方向，统一地基标高、洞顶净高、设备安装高度、排水坡度。全基地所有构筑物、设备、管线、机器人路径全部绑定本坐标系，无第二套参照标准。</w:t>
      </w:r>
    </w:p>
    <w:p w14:paraId="0631A542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5. 火星测绘卫星系统与航天发射规划</w:t>
      </w:r>
      <w:bookmarkEnd w:id="23"/>
    </w:p>
    <w:p w14:paraId="4693D7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卫星系统是全域勘测、坐标系标定、数字孪生建模、资源普查、地质风控的核心基础设施，同时承载未来导航、通信、气象、商业航天组网功能，实现「一次建设、全周期受益」。</w:t>
      </w:r>
    </w:p>
    <w:p w14:paraId="03CE7B59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5.1 卫星组网最优配置</w:t>
      </w:r>
      <w:bookmarkEnd w:id="24"/>
    </w:p>
    <w:p w14:paraId="35C73B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采用低轨极地+赤道混合组网模式，兼顾全域无死角覆盖、故障冗余、低成本落地，设置黄金标准配置与最低验证配置：</w:t>
      </w:r>
    </w:p>
    <w:p w14:paraId="6B19984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黄金配置（5颗卫星）：3颗主测绘卫星（合成孔径雷达卫星：穿透沙尘，探测地下熔岩管、地下冰、矿脉、断层；高清光学卫星：地表测绘、洞口定位、高程测量；热红外地质卫星：识别热源异常、围岩温度、冰分布、结构隐患）+2颗在轨热备份卫星，单星失效不影响全域作业。</w:t>
      </w:r>
    </w:p>
    <w:p w14:paraId="7A2BF47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最低可用配置（3颗卫星）：仅部署3颗主测绘卫星，满足项目早期验证阶段全球无死角勘测需求。</w:t>
      </w:r>
    </w:p>
    <w:p w14:paraId="0344F85C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5.2 两大航天发射路径对比</w:t>
      </w:r>
      <w:bookmarkEnd w:id="25"/>
    </w:p>
    <w:p w14:paraId="5C50900B">
      <w:pPr>
        <w:spacing w:before="260" w:after="120" w:line="288" w:lineRule="auto"/>
        <w:ind w:left="0"/>
        <w:jc w:val="left"/>
        <w:outlineLvl w:val="3"/>
      </w:pPr>
      <w:bookmarkStart w:id="26" w:name="heading_26"/>
      <w:r>
        <w:rPr>
          <w:rFonts w:ascii="Arial" w:hAnsi="Arial" w:eastAsia="等线" w:cs="Arial"/>
          <w:b/>
          <w:sz w:val="28"/>
        </w:rPr>
        <w:t>5.2.1 地球直接发射（2030–2070唯一可行方案）</w:t>
      </w:r>
      <w:bookmarkEnd w:id="26"/>
    </w:p>
    <w:p w14:paraId="223D90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施流程：地球完成卫星研制、总装、环境试验→重型火箭一箭多星发射→地火转移飞行→火星制动入轨→在轨组网调试→正式投用。核心优势：无需火星前置基建，不占用早期工业资源；依托26个月地火窗口即可快速落地；地球供应链成熟、可靠性高、迭代便捷；卫星寿命15-25年，一次部署覆盖全建设期。成本估算：单星研制+发射成本5000-8000万美元，5颗卫星总投入3-4亿美元，一次性投入、长期复用。</w:t>
      </w:r>
    </w:p>
    <w:p w14:paraId="2647FCBC">
      <w:pPr>
        <w:spacing w:before="260" w:after="120" w:line="288" w:lineRule="auto"/>
        <w:ind w:left="0"/>
        <w:jc w:val="left"/>
        <w:outlineLvl w:val="3"/>
      </w:pPr>
      <w:bookmarkStart w:id="27" w:name="heading_27"/>
      <w:r>
        <w:rPr>
          <w:rFonts w:ascii="Arial" w:hAnsi="Arial" w:eastAsia="等线" w:cs="Arial"/>
          <w:b/>
          <w:sz w:val="28"/>
        </w:rPr>
        <w:t>5.2.2 火星本土发射（2070年后终极模式）</w:t>
      </w:r>
      <w:bookmarkEnd w:id="27"/>
    </w:p>
    <w:p w14:paraId="402F97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置硬性条件：必须实现火星本土火箭结构件、发动机壳体自主生产；掌握水冰电解制液氧+液氢火箭燃料技术；具备总装厂房、测控系统、发射台、能源保障全套设施。核心优势：发射成本降至地球发射的1/10及以下；摆脱26个月发射窗口限制，可随时补网、升级；构建火星独立航天体系，可对外提供商业发射服务，形成盈利闭环。特性：前期重资产投入大，建成后边际成本极低，仅适配工业完全闭环后的长期战略布局。</w:t>
      </w:r>
    </w:p>
    <w:p w14:paraId="4489FEB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5.3 分阶段航天发展路线</w:t>
      </w:r>
      <w:bookmarkEnd w:id="28"/>
    </w:p>
    <w:p w14:paraId="378DC6A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2030–2040 地球组网期：完成5颗卫星发射组网，实现全域勘测、坐标系标定、数字孪生建模，不开展本土发射基建。</w:t>
      </w:r>
    </w:p>
    <w:p w14:paraId="666F84A3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2040–2070 技术储备期：依托本土工业体系突破火箭结构、燃料、发动机核心技术，搭建试验设施，仅发射自用卫星，不对外商用。</w:t>
      </w:r>
    </w:p>
    <w:p w14:paraId="39C9EB3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2070年后 商业运营期：建成赤道专用发射场，实现火箭与燃料本土量产，对外开放商业发射服务，收益反哺基地扩建与技术升级。</w:t>
      </w:r>
    </w:p>
    <w:p w14:paraId="6CCCC3D4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5.4 本土发射长期垄断价值</w:t>
      </w:r>
      <w:bookmarkEnd w:id="29"/>
    </w:p>
    <w:p w14:paraId="0F2A3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球火星探测、卫星组网存在长期持续需求，本项目依托三大天然壁垒形成市场垄断：率先定义火星通用工程坐标系，所有外部卫星需适配本基准；率先落地工业与航天基础设施，具备绝对先发优势；本土发射成本远低于地球发射，价格竞争力极强，可构建「工业造血-航天盈利-持续扩张」的正向文明循环。</w:t>
      </w:r>
    </w:p>
    <w:p w14:paraId="7979E075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6. 全域勘测体系：卫星+地面机器人联合方案</w:t>
      </w:r>
      <w:bookmarkEnd w:id="30"/>
    </w:p>
    <w:p w14:paraId="2A825412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6.1 整体勘测流程</w:t>
      </w:r>
      <w:bookmarkEnd w:id="31"/>
    </w:p>
    <w:p w14:paraId="3CA87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卫星组网全域普查→圈定稳定基岩、熔岩管群、资源富集区→筛选最优坐标原点、投放标定机器人→锚固永久基准、建立统一坐标系→投放地面机器人集群厘米级精勘→卫星与地面数据融合→构建全域数字孪生火星模型。</w:t>
      </w:r>
    </w:p>
    <w:p w14:paraId="450F327B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6.2 地面机器人集群分工</w:t>
      </w:r>
      <w:bookmarkEnd w:id="32"/>
    </w:p>
    <w:p w14:paraId="51B18D4D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基准标定导航机器人：全域布设定位信标，搭建无漂移坐标网络，保障全局定位精度。</w:t>
      </w:r>
    </w:p>
    <w:p w14:paraId="3283943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三维激光扫描机器人：全洞室无死角扫描，精准采集熔岩管走向、跨度、高度、坡度、截面形态数据。</w:t>
      </w:r>
    </w:p>
    <w:p w14:paraId="6BBE268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地质稳定性勘测机器人：检测围岩强度、排查裂隙与危岩、评估沉降风险，完成洞体稳定性分级。</w:t>
      </w:r>
    </w:p>
    <w:p w14:paraId="236AE01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矿产资源勘测机器人：原位探测铁矿、铝矿、玄武岩、水冰及各类化工矿物的分布与储量。</w:t>
      </w:r>
    </w:p>
    <w:p w14:paraId="1047A3A4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6.3 最终勘测成果</w:t>
      </w:r>
      <w:bookmarkEnd w:id="33"/>
    </w:p>
    <w:p w14:paraId="68C5B5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输出火星全域三维坐标总图、熔岩管地质稳定性分级图、工业资源最优开发路径图、全域数字孪生仿真平台、基地布局与施工放样全套基准图纸，为后续所有工程提供数据支撑。</w:t>
      </w:r>
    </w:p>
    <w:p w14:paraId="486957A8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7. 工业布局与气密分区整体规划</w:t>
      </w:r>
      <w:bookmarkEnd w:id="34"/>
    </w:p>
    <w:p w14:paraId="4A655A65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7.1 布局五大核心铁律</w:t>
      </w:r>
      <w:bookmarkEnd w:id="35"/>
    </w:p>
    <w:p w14:paraId="64C1229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单向顺流生产：物料全程单向流转，无折返冗余，动线为「洞口原料区→采矿破碎→选矿提纯→冶金炼钢→建材生产→装备制造→洞深能源核心区」。</w:t>
      </w:r>
    </w:p>
    <w:p w14:paraId="58E4E4F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关联产线集聚：强关联工序紧邻布置，共用能源、管道、桥架系统，最大限度降低物料转运成本。</w:t>
      </w:r>
    </w:p>
    <w:p w14:paraId="49CAE35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地质适配布局：重载、高振动设备仅布置于A级稳定洞段，规避地质风险。</w:t>
      </w:r>
    </w:p>
    <w:p w14:paraId="582C751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管线标准化布设：管道、电缆、通风系统单侧共架分层布置，不占用主运输通道。</w:t>
      </w:r>
    </w:p>
    <w:p w14:paraId="103191F9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全坐标绑定：所有设备、构筑物绑定唯一工程坐标，适配无人施工、无人运维、智能导航。</w:t>
      </w:r>
    </w:p>
    <w:p w14:paraId="50C43DC9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7.2 熔岩管气密隔离安全体系</w:t>
      </w:r>
      <w:bookmarkEnd w:id="36"/>
    </w:p>
    <w:p w14:paraId="1B37AD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然熔岩管直通火星外部极端环境，必须搭建多级气密隔离系统，杜绝沙尘倒灌、热量流失、温度失控、故障全域扩散：洞口设置多级气闸与防尘隔离门，隔绝真空、极端温差与沙尘暴；主通道分段气密隔断，独立划分采矿、冶炼、建材、制造、能源、维修、仓储七大功能区；各分区独立实现温控、防尘、通风、压力调节；单点故障、火灾、泄漏问题可分区隔离，不影响全域系统运行。</w:t>
      </w:r>
    </w:p>
    <w:p w14:paraId="596F418E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7.3 前置选矿提纯核心工序</w:t>
      </w:r>
      <w:bookmarkEnd w:id="37"/>
    </w:p>
    <w:p w14:paraId="21F07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火星原生矿石杂质含量极高，无法直接冶炼出合格钢结构、铝材、铜材，因此固化标准产线顺序：采矿→破碎筛分→选矿提纯→冶炼加工。通过洗选、除杂、富集工艺提升原料纯度，保障后续建材、设备构件的结构强度达标。</w:t>
      </w:r>
    </w:p>
    <w:p w14:paraId="042011D0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7.4 有人进驻兼容预留设计</w:t>
      </w:r>
      <w:bookmarkEnd w:id="38"/>
    </w:p>
    <w:p w14:paraId="75569C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地初期为全无人自主运营模式，全程预留有人化升级接口：配套专用人员气闸通道、居住舱接驳点位；预留生命维持、能源供给、水循环系统兼容接口；设置冗余扩建空间与安全隔离区，未来可直接升级为有人火星殖民地，无需推翻重建。所有预留接口标准统一、坐标对齐、可无缝对接后期人居工程体系。</w:t>
      </w:r>
    </w:p>
    <w:p w14:paraId="70D420FF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8. 全项目标准工程流程（不可逆唯一顺序）</w:t>
      </w:r>
      <w:bookmarkEnd w:id="39"/>
    </w:p>
    <w:p w14:paraId="5995264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地球发射测绘卫星，完成火星全域地形、熔岩管、资源、地质普查建档；</w:t>
      </w:r>
    </w:p>
    <w:p w14:paraId="2A1C8A6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筛选高稳定基岩区域，锚固永久坐标原点，搭建全域唯一工程坐标系；</w:t>
      </w:r>
    </w:p>
    <w:p w14:paraId="5D124F7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地面机器人高精度精勘，融合空、地数据，构建数字孪生火星仿真模型；</w:t>
      </w:r>
    </w:p>
    <w:p w14:paraId="6CCAA862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完成气密分区、产线布局、管线综合、地基设计的全流程仿真验证；</w:t>
      </w:r>
    </w:p>
    <w:p w14:paraId="02A2D19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分步落地土建施工：洞口气闸建设→分段气密隔断施工→围岩支护加固→场地整平→设备地基浇筑；</w:t>
      </w:r>
    </w:p>
    <w:p w14:paraId="5D0827DC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依次落地采矿、选矿、冶金、建材、装备制造、维修、能源全产业链产线；</w:t>
      </w:r>
    </w:p>
    <w:p w14:paraId="7330A578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开展全系统联调、冗余测试、故障自愈模拟验证，保障系统稳定性；</w:t>
      </w:r>
    </w:p>
    <w:p w14:paraId="23B1D3C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实现基地自主运行、工业闭环自持，逐步迭代扩建，后期拓展商业航天业务。</w:t>
      </w:r>
    </w:p>
    <w:p w14:paraId="543B3078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9. 开源共建模块框架（全专业开放认领迭代）</w:t>
      </w:r>
      <w:bookmarkEnd w:id="40"/>
    </w:p>
    <w:p w14:paraId="075534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项目拆解八大核心模块组，覆盖全专业工程内容，支持开源协作、逐点迭代优化，所有改进内容需贴合项目底层基准，保障体系统一：</w:t>
      </w:r>
    </w:p>
    <w:p w14:paraId="6499399D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9.1 基准与航天勘测模块（项目根基、最高优先级）</w:t>
      </w:r>
      <w:bookmarkEnd w:id="41"/>
    </w:p>
    <w:p w14:paraId="6573B9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包含火星永久工程坐标系规范、原点锚固结构设计、卫星组网与总体设计、地火双向发射路径规划、空-地联合勘测标准、数字孪生建模规范、全局物流仿真优化算法。</w:t>
      </w:r>
    </w:p>
    <w:p w14:paraId="0C522275">
      <w:pPr>
        <w:spacing w:before="300" w:after="120" w:line="288" w:lineRule="auto"/>
        <w:ind w:left="0"/>
        <w:jc w:val="left"/>
        <w:outlineLvl w:val="2"/>
      </w:pPr>
      <w:bookmarkStart w:id="42" w:name="heading_42"/>
      <w:r>
        <w:rPr>
          <w:rFonts w:ascii="Arial" w:hAnsi="Arial" w:eastAsia="等线" w:cs="Arial"/>
          <w:b/>
          <w:sz w:val="30"/>
        </w:rPr>
        <w:t>9.2 土木基建与地下工程模块（核心主体）</w:t>
      </w:r>
      <w:bookmarkEnd w:id="42"/>
    </w:p>
    <w:p w14:paraId="17E809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熔岩管危岩清除与可控爆破工艺、耐低温无人整平机器人设计、围岩支护与衬砌锚固体系、多级气闸气密系统设计、低温特种混凝土体系、无人钢筋加工产线、混凝土防冻防膨胀工法、抗沉降抗振动设备地基设计。</w:t>
      </w:r>
    </w:p>
    <w:p w14:paraId="1CC09C32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9.3 工业产线与密闭物流模块</w:t>
      </w:r>
      <w:bookmarkEnd w:id="43"/>
    </w:p>
    <w:p w14:paraId="433239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包含采矿-破碎-选矿-密闭输送全链路设计、轻量化火星冶金炼钢轧钢系统、无人耐低温混凝土搅拌站、机器人整机装配产线、全域管线综合布局、无人物流闭环调度系统。</w:t>
      </w:r>
    </w:p>
    <w:p w14:paraId="44EF8526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9.4 机械装备与极端环境适配模块</w:t>
      </w:r>
      <w:bookmarkEnd w:id="44"/>
    </w:p>
    <w:p w14:paraId="7E9A8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包含火星施工装备全结构优化设计、橡胶材料全替代密封体系、固体润滑与抗极端环境设计规范、设备多重冗余自愈设计、火星本地3D打印备件循环再造体系。</w:t>
      </w:r>
    </w:p>
    <w:p w14:paraId="79C0C76B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9.5 电气与特种材料模块</w:t>
      </w:r>
      <w:bookmarkEnd w:id="45"/>
    </w:p>
    <w:p w14:paraId="1D5474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包含PTFE/FEP/PI火星专用绝缘线缆体系、本土线缆挤包生产工艺、全封闭金属布线防护与防雷体系、耐低温抗老化长寿命材料选型库。</w:t>
      </w:r>
    </w:p>
    <w:p w14:paraId="48CE87CF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9.6 能源与公用工程模块</w:t>
      </w:r>
      <w:bookmarkEnd w:id="46"/>
    </w:p>
    <w:p w14:paraId="2AD6F0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地能源体系采用「小型模块化核电为主、风光可再生能源为辅」的混合自持供电方案，核电作为基础负荷保障全时稳定供电，风电、光伏辅助调峰降本，构建火星长期无补给自持能源体系。本模块涵盖基地能源配电与分配体系、火星水循环净化零排放系统、全域正压防尘通风环境控制系统、矿渣废料循环利用系统、人类进驻生命能源兼容接口。远期可配套密闭生活区、生态绿植供氧、固废废水全闭环处理体系，完全满足人员长期在地自持生存需求。</w:t>
      </w:r>
    </w:p>
    <w:p w14:paraId="60090E22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9.7 AI自主控制与数字孪生模块</w:t>
      </w:r>
      <w:bookmarkEnd w:id="47"/>
    </w:p>
    <w:p w14:paraId="0BBD8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包含全域坐标导航校正系统、产线AI全局调度自主运行逻辑、设备故障自检预警自愈体系、数字孪生仿真与施工风险预判系统。</w:t>
      </w:r>
    </w:p>
    <w:p w14:paraId="0B913E62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9.8 航天与长期商业运营模块</w:t>
      </w:r>
      <w:bookmarkEnd w:id="48"/>
    </w:p>
    <w:p w14:paraId="4B210B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包含卫星组网补网升级方案、本土火箭发射设施建设路径、商业发射服务运营标准、火星文明长期扩张与可持续发展规划。</w:t>
      </w:r>
    </w:p>
    <w:p w14:paraId="34823CDE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10. 开源协作统一规则</w:t>
      </w:r>
      <w:bookmarkEnd w:id="49"/>
    </w:p>
    <w:p w14:paraId="6A1F992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全开源无限制：所有文档、参数、图纸、方案完全公开，无版权、无商业限制，可用于科研、落地、优化、二次分发。</w:t>
      </w:r>
    </w:p>
    <w:p w14:paraId="11082E6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无门槛平等参与：不限专业、资历、身份，任何有效落地优化、细节完善均视为有效贡献。</w:t>
      </w:r>
    </w:p>
    <w:p w14:paraId="38CE8B7E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唯一落地标准：拒绝科幻虚设概念，所有新增、优化内容必须有参数、有逻辑、可计算、可验证、可落地。</w:t>
      </w:r>
    </w:p>
    <w:p w14:paraId="3461C41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全局统一准则：所有贡献内容必须贴合火星环境约束、永久坐标系、数字孪生底座、单向生产流线、先仿后建核心原则，保障全体系统一无冲突。</w:t>
      </w:r>
    </w:p>
    <w:p w14:paraId="21F8DBB5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11. 项目核心理念总结</w:t>
      </w:r>
      <w:bookmarkEnd w:id="50"/>
    </w:p>
    <w:p w14:paraId="10D172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锁死原点，才有火星；先建卫星天眼，再观全域大地；先建数字孪生，再谈工程落地；先隔离环境风险，再搞工业生产；先保证地基百年不动，再建人类火星文明。本项目摒弃科幻空想，坚守朴素、可靠、低风险的工程学逻辑，每一项参数、每一条规则、每一套方案，都是未来火星基建、工业、文明扩张的坚实基础。</w:t>
      </w:r>
    </w:p>
    <w:p w14:paraId="67768DBE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12. 项目最终总纲</w:t>
      </w:r>
      <w:bookmarkEnd w:id="51"/>
    </w:p>
    <w:p w14:paraId="3EABE0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以永久原点定乾坤，以卫星天眼观全局，以数字孪生控落地，以开源协作筑文明，步步夯实工程根基、逐级闭环迭代落地，将火星空想构想稳步转化为可施工、可自持、可永续扩张的人类外星工业文明。</w:t>
      </w:r>
    </w:p>
    <w:p w14:paraId="50F4303B">
      <w:pPr>
        <w:spacing w:before="120" w:after="120" w:line="288" w:lineRule="auto"/>
        <w:ind w:left="0"/>
        <w:jc w:val="left"/>
      </w:pPr>
      <w:bookmarkStart w:id="52" w:name="_GoBack"/>
      <w:bookmarkEnd w:id="52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A0573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D827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6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629F7852"/>
    <w:multiLevelType w:val="singleLevel"/>
    <w:tmpl w:val="629F785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77ECEA79"/>
    <w:multiLevelType w:val="singleLevel"/>
    <w:tmpl w:val="77ECEA7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0">
    <w:nsid w:val="7C246926"/>
    <w:multiLevelType w:val="singleLevel"/>
    <w:tmpl w:val="7C246926"/>
    <w:lvl w:ilvl="0" w:tentative="0">
      <w:start w:val="6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4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8"/>
  </w:num>
  <w:num w:numId="9">
    <w:abstractNumId w:val="14"/>
  </w:num>
  <w:num w:numId="10">
    <w:abstractNumId w:val="1"/>
  </w:num>
  <w:num w:numId="11">
    <w:abstractNumId w:val="19"/>
  </w:num>
  <w:num w:numId="12">
    <w:abstractNumId w:val="25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6"/>
  </w:num>
  <w:num w:numId="22">
    <w:abstractNumId w:val="16"/>
  </w:num>
  <w:num w:numId="23">
    <w:abstractNumId w:val="21"/>
  </w:num>
  <w:num w:numId="24">
    <w:abstractNumId w:val="4"/>
  </w:num>
  <w:num w:numId="25">
    <w:abstractNumId w:val="30"/>
  </w:num>
  <w:num w:numId="26">
    <w:abstractNumId w:val="29"/>
  </w:num>
  <w:num w:numId="27">
    <w:abstractNumId w:val="6"/>
  </w:num>
  <w:num w:numId="28">
    <w:abstractNumId w:val="27"/>
  </w:num>
  <w:num w:numId="29">
    <w:abstractNumId w:val="2"/>
  </w:num>
  <w:num w:numId="30">
    <w:abstractNumId w:val="20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064F89"/>
    <w:rsid w:val="33460DA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6726</Words>
  <Characters>6960</Characters>
  <TotalTime>0</TotalTime>
  <ScaleCrop>false</ScaleCrop>
  <LinksUpToDate>false</LinksUpToDate>
  <CharactersWithSpaces>7023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2026-05-15T12:30:00Z</dcterms:created>
  <dc:creator>Apache POI</dc:creator>
  <cp:lastModifiedBy>老赵</cp:lastModifiedBy>
  <dcterms:modified xsi:type="dcterms:W3CDTF">2026-05-15T12:31:47Z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eyJoZGlkIjoiNjE0ZDU4YjlmNGJmOTkzMTJiOGVmODE3Y2YyMmJhYWYiLCJ1c2VySWQiOiIzMDA3NzE1NzQifQ==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305BD9B62E9C46379C17921CF6E4A2D9_13</vt:lpwstr>
  </property>
</Properties>
</file>