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59507">
      <w:pPr>
        <w:jc w:val="center"/>
        <w:rPr>
          <w:rFonts w:ascii="宋体" w:hAnsi="宋体" w:eastAsia="宋体"/>
          <w:b/>
          <w:bCs/>
          <w:sz w:val="36"/>
          <w:szCs w:val="36"/>
        </w:rPr>
      </w:pPr>
      <w:r>
        <w:rPr>
          <w:rFonts w:hint="eastAsia" w:ascii="宋体" w:hAnsi="宋体" w:eastAsia="宋体"/>
          <w:b/>
          <w:bCs/>
          <w:sz w:val="36"/>
          <w:szCs w:val="36"/>
        </w:rPr>
        <w:t>计 算 机 体 系 结 构（研 讨 课）实 验 报 告</w:t>
      </w:r>
    </w:p>
    <w:p w14:paraId="32B0943A">
      <w:pPr>
        <w:jc w:val="center"/>
        <w:rPr>
          <w:rFonts w:hint="eastAsia" w:ascii="楷体" w:hAnsi="楷体" w:eastAsia="楷体"/>
          <w:szCs w:val="21"/>
          <w:u w:val="single"/>
        </w:rPr>
      </w:pPr>
      <w:r>
        <w:rPr>
          <w:rFonts w:hint="eastAsia" w:ascii="楷体" w:hAnsi="楷体" w:eastAsia="楷体"/>
          <w:szCs w:val="21"/>
        </w:rPr>
        <w:t>实验项目</w:t>
      </w:r>
      <w:r>
        <w:rPr>
          <w:rFonts w:hint="eastAsia" w:ascii="Times New Roman" w:hAnsi="Times New Roman" w:eastAsia="楷体" w:cs="Times New Roman"/>
          <w:szCs w:val="21"/>
          <w:u w:val="single"/>
        </w:rPr>
        <w:t xml:space="preserve">   p</w:t>
      </w:r>
      <w:r>
        <w:rPr>
          <w:rFonts w:ascii="Times New Roman" w:hAnsi="Times New Roman" w:eastAsia="楷体" w:cs="Times New Roman"/>
          <w:szCs w:val="21"/>
          <w:u w:val="single"/>
        </w:rPr>
        <w:t>rj</w:t>
      </w:r>
      <w:r>
        <w:rPr>
          <w:rFonts w:hint="eastAsia" w:ascii="Times New Roman" w:hAnsi="Times New Roman" w:eastAsia="楷体" w:cs="Times New Roman"/>
          <w:szCs w:val="21"/>
          <w:u w:val="single"/>
          <w:lang w:val="en-US" w:eastAsia="zh-CN"/>
        </w:rPr>
        <w:t>6</w:t>
      </w:r>
      <w:r>
        <w:rPr>
          <w:rFonts w:hint="eastAsia" w:ascii="Times New Roman" w:hAnsi="Times New Roman" w:eastAsia="楷体" w:cs="Times New Roman"/>
          <w:szCs w:val="21"/>
          <w:u w:val="single"/>
        </w:rPr>
        <w:t xml:space="preserve">   </w:t>
      </w:r>
      <w:r>
        <w:rPr>
          <w:rFonts w:hint="eastAsia" w:ascii="楷体" w:hAnsi="楷体" w:eastAsia="楷体"/>
          <w:szCs w:val="21"/>
        </w:rPr>
        <w:t>小组编号</w:t>
      </w:r>
      <w:r>
        <w:rPr>
          <w:rFonts w:hint="eastAsia" w:ascii="楷体" w:hAnsi="楷体" w:eastAsia="楷体"/>
          <w:szCs w:val="21"/>
          <w:u w:val="single"/>
        </w:rPr>
        <w:t xml:space="preserve">    </w:t>
      </w:r>
      <w:r>
        <w:rPr>
          <w:rFonts w:ascii="Times New Roman" w:hAnsi="Times New Roman" w:eastAsia="楷体" w:cs="Times New Roman"/>
          <w:szCs w:val="21"/>
          <w:u w:val="single"/>
        </w:rPr>
        <w:t>28</w:t>
      </w:r>
      <w:r>
        <w:rPr>
          <w:rFonts w:hint="eastAsia" w:ascii="Times New Roman" w:hAnsi="Times New Roman" w:eastAsia="楷体" w:cs="Times New Roman"/>
          <w:szCs w:val="21"/>
          <w:u w:val="single"/>
        </w:rPr>
        <w:t xml:space="preserve">    </w:t>
      </w:r>
      <w:r>
        <w:rPr>
          <w:rFonts w:hint="eastAsia" w:ascii="楷体" w:hAnsi="楷体" w:eastAsia="楷体"/>
          <w:szCs w:val="21"/>
        </w:rPr>
        <w:t>组员姓名</w:t>
      </w:r>
      <w:r>
        <w:rPr>
          <w:rFonts w:hint="eastAsia" w:ascii="楷体" w:hAnsi="楷体" w:eastAsia="楷体"/>
          <w:szCs w:val="21"/>
          <w:u w:val="single"/>
        </w:rPr>
        <w:t xml:space="preserve">    刘景平、张钰堃、付博宇   </w:t>
      </w:r>
    </w:p>
    <w:p w14:paraId="176C4AAE">
      <w:pPr>
        <w:jc w:val="center"/>
        <w:rPr>
          <w:rFonts w:hint="eastAsia" w:ascii="楷体" w:hAnsi="楷体" w:eastAsia="楷体"/>
          <w:b/>
          <w:bCs/>
          <w:szCs w:val="21"/>
        </w:rPr>
      </w:pPr>
      <w:r>
        <w:rPr>
          <w:rFonts w:hint="eastAsia" w:ascii="楷体" w:hAnsi="楷体" w:eastAsia="楷体"/>
          <w:b/>
          <w:bCs/>
          <w:szCs w:val="21"/>
        </w:rP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14:paraId="628D53AA">
      <w:pPr>
        <w:rPr>
          <w:rFonts w:ascii="楷体" w:hAnsi="楷体" w:eastAsia="楷体"/>
          <w:b/>
          <w:bCs/>
          <w:szCs w:val="21"/>
        </w:rPr>
      </w:pPr>
    </w:p>
    <w:p w14:paraId="168551EA">
      <w:pPr>
        <w:pStyle w:val="5"/>
        <w:numPr>
          <w:ilvl w:val="0"/>
          <w:numId w:val="1"/>
        </w:numPr>
        <w:ind w:firstLineChars="0"/>
        <w:rPr>
          <w:rFonts w:ascii="宋体" w:hAnsi="宋体" w:eastAsia="宋体"/>
          <w:b/>
          <w:bCs/>
          <w:sz w:val="29"/>
          <w:szCs w:val="29"/>
        </w:rPr>
      </w:pPr>
      <w:r>
        <w:rPr>
          <w:rFonts w:hint="eastAsia" w:ascii="宋体" w:hAnsi="宋体" w:eastAsia="宋体"/>
          <w:b/>
          <w:bCs/>
          <w:sz w:val="29"/>
          <w:szCs w:val="29"/>
        </w:rPr>
        <w:t>实验目标</w:t>
      </w:r>
    </w:p>
    <w:p w14:paraId="5EB2F491">
      <w:pPr>
        <w:numPr>
          <w:ilvl w:val="0"/>
          <w:numId w:val="2"/>
        </w:numPr>
        <w:rPr>
          <w:rFonts w:hint="eastAsia" w:ascii="宋体" w:hAnsi="宋体" w:eastAsia="宋体"/>
          <w:szCs w:val="21"/>
          <w:lang w:val="en-US" w:eastAsia="zh-CN"/>
        </w:rPr>
      </w:pPr>
      <w:r>
        <w:rPr>
          <w:rFonts w:hint="eastAsia" w:ascii="宋体" w:hAnsi="宋体" w:eastAsia="宋体"/>
          <w:szCs w:val="21"/>
          <w:lang w:val="en-US" w:eastAsia="zh-CN"/>
        </w:rPr>
        <w:t>exp17：</w:t>
      </w:r>
    </w:p>
    <w:p w14:paraId="3D841092">
      <w:pPr>
        <w:numPr>
          <w:ilvl w:val="0"/>
          <w:numId w:val="0"/>
        </w:numPr>
        <w:rPr>
          <w:rFonts w:hint="default" w:ascii="宋体" w:hAnsi="宋体" w:eastAsia="宋体"/>
          <w:szCs w:val="21"/>
          <w:lang w:val="en-US" w:eastAsia="zh-CN"/>
        </w:rPr>
      </w:pPr>
      <w:r>
        <w:rPr>
          <w:rFonts w:hint="eastAsia" w:ascii="宋体" w:hAnsi="宋体" w:eastAsia="宋体"/>
          <w:szCs w:val="21"/>
          <w:lang w:val="en-US" w:eastAsia="zh-CN"/>
        </w:rPr>
        <w:t>1.</w:t>
      </w:r>
      <w:r>
        <w:rPr>
          <w:rFonts w:hint="default" w:ascii="宋体" w:hAnsi="宋体" w:eastAsia="宋体"/>
          <w:szCs w:val="21"/>
          <w:lang w:val="en-US" w:eastAsia="zh-CN"/>
        </w:rPr>
        <w:t>设计 TLB 模块。</w:t>
      </w:r>
    </w:p>
    <w:p w14:paraId="6DB31EBD">
      <w:pPr>
        <w:numPr>
          <w:ilvl w:val="0"/>
          <w:numId w:val="0"/>
        </w:numPr>
        <w:rPr>
          <w:rFonts w:hint="default" w:ascii="宋体" w:hAnsi="宋体" w:eastAsia="宋体"/>
          <w:szCs w:val="21"/>
          <w:lang w:val="en-US" w:eastAsia="zh-CN"/>
        </w:rPr>
      </w:pPr>
      <w:r>
        <w:rPr>
          <w:rFonts w:hint="default" w:ascii="宋体" w:hAnsi="宋体" w:eastAsia="宋体"/>
          <w:szCs w:val="21"/>
          <w:lang w:val="en-US" w:eastAsia="zh-CN"/>
        </w:rPr>
        <w:t>2. 利用 TLB 模块级验证环境对所设计的 TLB 进行验证，通过仿真和上板验证。</w:t>
      </w:r>
    </w:p>
    <w:p w14:paraId="6327E77C">
      <w:pPr>
        <w:numPr>
          <w:ilvl w:val="0"/>
          <w:numId w:val="0"/>
        </w:numPr>
        <w:rPr>
          <w:rFonts w:hint="default" w:ascii="宋体" w:hAnsi="宋体" w:eastAsia="宋体"/>
          <w:szCs w:val="21"/>
          <w:lang w:val="en-US" w:eastAsia="zh-CN"/>
        </w:rPr>
      </w:pPr>
    </w:p>
    <w:p w14:paraId="1B7581F3">
      <w:pPr>
        <w:numPr>
          <w:ilvl w:val="0"/>
          <w:numId w:val="2"/>
        </w:numPr>
        <w:ind w:left="0" w:leftChars="0" w:firstLine="0" w:firstLineChars="0"/>
        <w:rPr>
          <w:rFonts w:hint="eastAsia" w:ascii="宋体" w:hAnsi="宋体" w:eastAsia="宋体"/>
          <w:szCs w:val="21"/>
          <w:lang w:val="en-US" w:eastAsia="zh-CN"/>
        </w:rPr>
      </w:pPr>
      <w:r>
        <w:rPr>
          <w:rFonts w:hint="eastAsia" w:ascii="宋体" w:hAnsi="宋体" w:eastAsia="宋体"/>
          <w:szCs w:val="21"/>
          <w:lang w:val="en-US" w:eastAsia="zh-CN"/>
        </w:rPr>
        <w:t>exp18：</w:t>
      </w:r>
    </w:p>
    <w:p w14:paraId="2439FEB8">
      <w:pPr>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 xml:space="preserve">1.将实践任务 17 完成的 TLB 模块集成到实践任务 16 完成的 CPU 中。 </w:t>
      </w:r>
    </w:p>
    <w:p w14:paraId="0095F89C">
      <w:pPr>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2.在 CPU 中增加 TLBSRCH、TLBRD、TLBWR、TLBFILL、INVTLB 指令。</w:t>
      </w:r>
    </w:p>
    <w:p w14:paraId="00FA3CA1">
      <w:pPr>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 xml:space="preserve">3.在 CPU 中增加 TLBIDX、TLBEHI、TLBELO0、TLBELO1、ASID、TLBRENTRY CSR 寄存器。 </w:t>
      </w:r>
    </w:p>
    <w:p w14:paraId="7687970F">
      <w:pPr>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4.在采用 AXI 总线的 SoC 验证环境里完成 exp18 对应 func 的功能验证，要求成功通过仿真和上板验证。</w:t>
      </w:r>
    </w:p>
    <w:p w14:paraId="756E8F0C">
      <w:pPr>
        <w:numPr>
          <w:ilvl w:val="0"/>
          <w:numId w:val="0"/>
        </w:numPr>
        <w:ind w:leftChars="0"/>
        <w:rPr>
          <w:rFonts w:hint="eastAsia" w:ascii="宋体" w:hAnsi="宋体" w:eastAsia="宋体"/>
          <w:szCs w:val="21"/>
          <w:lang w:val="en-US" w:eastAsia="zh-CN"/>
        </w:rPr>
      </w:pPr>
    </w:p>
    <w:p w14:paraId="756DD401">
      <w:pPr>
        <w:numPr>
          <w:ilvl w:val="0"/>
          <w:numId w:val="2"/>
        </w:numPr>
        <w:ind w:left="0" w:leftChars="0" w:firstLine="0" w:firstLineChars="0"/>
        <w:rPr>
          <w:rFonts w:hint="default" w:ascii="宋体" w:hAnsi="宋体" w:eastAsia="宋体"/>
          <w:szCs w:val="21"/>
          <w:lang w:val="en-US" w:eastAsia="zh-CN"/>
        </w:rPr>
      </w:pPr>
      <w:r>
        <w:rPr>
          <w:rFonts w:hint="eastAsia" w:ascii="宋体" w:hAnsi="宋体" w:eastAsia="宋体"/>
          <w:szCs w:val="21"/>
          <w:lang w:val="en-US" w:eastAsia="zh-CN"/>
        </w:rPr>
        <w:t>exp19：</w:t>
      </w:r>
    </w:p>
    <w:p w14:paraId="59D155E3">
      <w:pPr>
        <w:numPr>
          <w:ilvl w:val="0"/>
          <w:numId w:val="0"/>
        </w:numPr>
        <w:ind w:leftChars="0"/>
        <w:rPr>
          <w:rFonts w:hint="default" w:ascii="宋体" w:hAnsi="宋体" w:eastAsia="宋体"/>
          <w:szCs w:val="21"/>
          <w:lang w:val="en-US" w:eastAsia="zh-CN"/>
        </w:rPr>
      </w:pPr>
      <w:r>
        <w:rPr>
          <w:rFonts w:hint="eastAsia" w:ascii="宋体" w:hAnsi="宋体" w:eastAsia="宋体"/>
          <w:szCs w:val="21"/>
          <w:lang w:val="en-US" w:eastAsia="zh-CN"/>
        </w:rPr>
        <w:t>1.</w:t>
      </w:r>
      <w:r>
        <w:rPr>
          <w:rFonts w:hint="default" w:ascii="宋体" w:hAnsi="宋体" w:eastAsia="宋体"/>
          <w:szCs w:val="21"/>
          <w:lang w:val="en-US" w:eastAsia="zh-CN"/>
        </w:rPr>
        <w:t xml:space="preserve">为 CPU 增加 TLB 相关异常：TLB 重填例外、load/store/取指操作页无效例外、页修改例外、页特权等级不合规例外。 </w:t>
      </w:r>
    </w:p>
    <w:p w14:paraId="2195F971">
      <w:pPr>
        <w:numPr>
          <w:ilvl w:val="0"/>
          <w:numId w:val="0"/>
        </w:numPr>
        <w:ind w:leftChars="0"/>
        <w:rPr>
          <w:rFonts w:hint="default" w:ascii="宋体" w:hAnsi="宋体" w:eastAsia="宋体"/>
          <w:szCs w:val="21"/>
          <w:lang w:val="en-US" w:eastAsia="zh-CN"/>
        </w:rPr>
      </w:pPr>
      <w:r>
        <w:rPr>
          <w:rFonts w:hint="default" w:ascii="宋体" w:hAnsi="宋体" w:eastAsia="宋体"/>
          <w:szCs w:val="21"/>
          <w:lang w:val="en-US" w:eastAsia="zh-CN"/>
        </w:rPr>
        <w:t xml:space="preserve">2.在 CPU 中增加 DMW CSR 寄存器。 </w:t>
      </w:r>
    </w:p>
    <w:p w14:paraId="39BCB929">
      <w:pPr>
        <w:numPr>
          <w:ilvl w:val="0"/>
          <w:numId w:val="0"/>
        </w:numPr>
        <w:ind w:leftChars="0"/>
        <w:rPr>
          <w:rFonts w:hint="default" w:ascii="宋体" w:hAnsi="宋体" w:eastAsia="宋体"/>
          <w:szCs w:val="21"/>
          <w:lang w:val="en-US" w:eastAsia="zh-CN"/>
        </w:rPr>
      </w:pPr>
      <w:r>
        <w:rPr>
          <w:rFonts w:hint="default" w:ascii="宋体" w:hAnsi="宋体" w:eastAsia="宋体"/>
          <w:szCs w:val="21"/>
          <w:lang w:val="en-US" w:eastAsia="zh-CN"/>
        </w:rPr>
        <w:t xml:space="preserve">3.为 CPU 增加虚实地址映射的功能。 </w:t>
      </w:r>
    </w:p>
    <w:p w14:paraId="7A9A1D74">
      <w:pPr>
        <w:numPr>
          <w:ilvl w:val="0"/>
          <w:numId w:val="0"/>
        </w:numPr>
        <w:ind w:leftChars="0"/>
        <w:rPr>
          <w:rFonts w:hint="default" w:ascii="宋体" w:hAnsi="宋体" w:eastAsia="宋体"/>
          <w:szCs w:val="21"/>
          <w:lang w:val="en-US" w:eastAsia="zh-CN"/>
        </w:rPr>
      </w:pPr>
      <w:r>
        <w:rPr>
          <w:rFonts w:hint="default" w:ascii="宋体" w:hAnsi="宋体" w:eastAsia="宋体"/>
          <w:szCs w:val="21"/>
          <w:lang w:val="en-US" w:eastAsia="zh-CN"/>
        </w:rPr>
        <w:t>4.在采用 AXI 总线的 SoC 验证环境里完成 exp19 对应 func 的功能验证，要求成功通过仿真和上板验证。</w:t>
      </w:r>
    </w:p>
    <w:p w14:paraId="47B096D9">
      <w:pPr>
        <w:rPr>
          <w:rFonts w:ascii="宋体" w:hAnsi="宋体" w:eastAsia="宋体"/>
          <w:szCs w:val="21"/>
        </w:rPr>
      </w:pPr>
    </w:p>
    <w:p w14:paraId="12583D07">
      <w:pPr>
        <w:pStyle w:val="5"/>
        <w:numPr>
          <w:ilvl w:val="0"/>
          <w:numId w:val="1"/>
        </w:numPr>
        <w:ind w:firstLineChars="0"/>
        <w:rPr>
          <w:rFonts w:hint="eastAsia" w:ascii="宋体" w:hAnsi="宋体" w:eastAsia="宋体"/>
          <w:b/>
          <w:bCs/>
          <w:sz w:val="29"/>
          <w:szCs w:val="29"/>
        </w:rPr>
      </w:pPr>
      <w:r>
        <w:rPr>
          <w:rFonts w:hint="eastAsia" w:ascii="宋体" w:hAnsi="宋体" w:eastAsia="宋体"/>
          <w:b/>
          <w:bCs/>
          <w:sz w:val="29"/>
          <w:szCs w:val="29"/>
        </w:rPr>
        <w:t>逻辑电路结构与仿真波形相关说明</w:t>
      </w:r>
    </w:p>
    <w:p w14:paraId="3F93CC46">
      <w:pPr>
        <w:numPr>
          <w:ilvl w:val="0"/>
          <w:numId w:val="3"/>
        </w:numPr>
        <w:jc w:val="both"/>
        <w:rPr>
          <w:rFonts w:hint="eastAsia" w:ascii="宋体" w:hAnsi="宋体" w:eastAsia="宋体"/>
          <w:sz w:val="28"/>
          <w:szCs w:val="28"/>
          <w:lang w:val="en-US" w:eastAsia="zh-CN"/>
        </w:rPr>
      </w:pPr>
      <w:r>
        <w:rPr>
          <w:rFonts w:hint="eastAsia" w:ascii="宋体" w:hAnsi="宋体" w:eastAsia="宋体"/>
          <w:sz w:val="28"/>
          <w:szCs w:val="28"/>
          <w:lang w:val="en-US" w:eastAsia="zh-CN"/>
        </w:rPr>
        <w:t>tlb模块设计</w:t>
      </w:r>
    </w:p>
    <w:p w14:paraId="13ACBDB1">
      <w:pPr>
        <w:widowControl w:val="0"/>
        <w:numPr>
          <w:ilvl w:val="0"/>
          <w:numId w:val="0"/>
        </w:numPr>
        <w:jc w:val="both"/>
        <w:rPr>
          <w:rFonts w:hint="eastAsia" w:ascii="宋体" w:hAnsi="宋体" w:eastAsia="宋体"/>
          <w:szCs w:val="21"/>
          <w:lang w:val="en-US" w:eastAsia="zh-CN"/>
        </w:rPr>
      </w:pPr>
      <w:r>
        <w:rPr>
          <w:rFonts w:hint="eastAsia" w:ascii="宋体" w:hAnsi="宋体" w:eastAsia="宋体"/>
          <w:szCs w:val="21"/>
          <w:lang w:val="en-US" w:eastAsia="zh-CN"/>
        </w:rPr>
        <w:t>·tlb模块的输入输出端口和内部寄存器设置：</w:t>
      </w:r>
    </w:p>
    <w:p w14:paraId="6372CB46">
      <w:pPr>
        <w:widowControl w:val="0"/>
        <w:numPr>
          <w:ilvl w:val="0"/>
          <w:numId w:val="0"/>
        </w:numPr>
        <w:ind w:firstLine="420" w:firstLineChars="0"/>
        <w:jc w:val="both"/>
        <w:rPr>
          <w:rFonts w:hint="default" w:ascii="宋体" w:hAnsi="宋体" w:eastAsia="宋体"/>
          <w:szCs w:val="21"/>
          <w:lang w:eastAsia="zh-CN"/>
        </w:rPr>
      </w:pPr>
      <w:r>
        <w:rPr>
          <w:rFonts w:hint="eastAsia" w:ascii="宋体" w:hAnsi="宋体" w:eastAsia="宋体"/>
          <w:szCs w:val="21"/>
          <w:lang w:val="en-US" w:eastAsia="zh-CN"/>
        </w:rPr>
        <w:t>按照讲义216-218页给出的定义，设置两个</w:t>
      </w:r>
      <w:r>
        <w:rPr>
          <w:rFonts w:hint="default" w:ascii="宋体" w:hAnsi="宋体" w:eastAsia="宋体"/>
          <w:szCs w:val="21"/>
          <w:lang w:eastAsia="zh-CN"/>
        </w:rPr>
        <w:t>查找</w:t>
      </w:r>
      <w:r>
        <w:rPr>
          <w:rFonts w:hint="eastAsia" w:ascii="宋体" w:hAnsi="宋体" w:eastAsia="宋体"/>
          <w:szCs w:val="21"/>
          <w:lang w:val="en-US" w:eastAsia="zh-CN"/>
        </w:rPr>
        <w:t>端口（分别用于取指和访存）、</w:t>
      </w:r>
      <w:r>
        <w:rPr>
          <w:rFonts w:hint="default" w:ascii="宋体" w:hAnsi="宋体" w:eastAsia="宋体"/>
          <w:szCs w:val="21"/>
          <w:lang w:eastAsia="zh-CN"/>
        </w:rPr>
        <w:t>一个读端口和一个写端口，另外添加专门用于执行invtlb指令的两个输入信号。</w:t>
      </w:r>
    </w:p>
    <w:p w14:paraId="00360611">
      <w:pPr>
        <w:widowControl w:val="0"/>
        <w:numPr>
          <w:ilvl w:val="0"/>
          <w:numId w:val="0"/>
        </w:numPr>
        <w:ind w:firstLine="420" w:firstLineChars="0"/>
        <w:jc w:val="both"/>
        <w:rPr>
          <w:rFonts w:hint="eastAsia" w:ascii="宋体" w:hAnsi="宋体" w:eastAsia="宋体"/>
          <w:szCs w:val="21"/>
          <w:lang w:eastAsia="zh-CN"/>
        </w:rPr>
      </w:pPr>
      <w:r>
        <w:rPr>
          <w:rFonts w:hint="default" w:ascii="宋体" w:hAnsi="宋体" w:eastAsia="宋体"/>
          <w:szCs w:val="21"/>
          <w:lang w:eastAsia="zh-CN"/>
        </w:rPr>
        <w:t>按照loongarch架构对于tlb页表项的定义设置寄存器堆</w:t>
      </w:r>
      <w:r>
        <w:rPr>
          <w:rFonts w:hint="eastAsia" w:ascii="宋体" w:hAnsi="宋体" w:eastAsia="宋体"/>
          <w:szCs w:val="21"/>
          <w:lang w:eastAsia="zh-CN"/>
        </w:rPr>
        <w:t>。</w:t>
      </w:r>
    </w:p>
    <w:p w14:paraId="3F32151E">
      <w:pPr>
        <w:widowControl w:val="0"/>
        <w:numPr>
          <w:ilvl w:val="0"/>
          <w:numId w:val="0"/>
        </w:numPr>
        <w:jc w:val="center"/>
      </w:pPr>
      <w:r>
        <w:drawing>
          <wp:inline distT="0" distB="0" distL="114300" distR="114300">
            <wp:extent cx="3299460" cy="2247265"/>
            <wp:effectExtent l="0" t="0" r="7620" b="825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299460" cy="2247265"/>
                    </a:xfrm>
                    <a:prstGeom prst="rect">
                      <a:avLst/>
                    </a:prstGeom>
                    <a:noFill/>
                    <a:ln>
                      <a:noFill/>
                    </a:ln>
                  </pic:spPr>
                </pic:pic>
              </a:graphicData>
            </a:graphic>
          </wp:inline>
        </w:drawing>
      </w:r>
    </w:p>
    <w:p w14:paraId="653F7FF3">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·invtlb的处理：</w:t>
      </w:r>
    </w:p>
    <w:p w14:paraId="1D135233">
      <w:pPr>
        <w:widowControl w:val="0"/>
        <w:numPr>
          <w:ilvl w:val="0"/>
          <w:numId w:val="0"/>
        </w:numPr>
        <w:jc w:val="both"/>
        <w:rPr>
          <w:rFonts w:hint="default" w:ascii="宋体" w:hAnsi="宋体" w:eastAsia="宋体" w:cs="宋体"/>
          <w:lang w:val="en-US" w:eastAsia="zh-CN"/>
        </w:rPr>
      </w:pPr>
      <w:r>
        <w:drawing>
          <wp:inline distT="0" distB="0" distL="114300" distR="114300">
            <wp:extent cx="5268595" cy="2071370"/>
            <wp:effectExtent l="0" t="0" r="4445"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68595" cy="2071370"/>
                    </a:xfrm>
                    <a:prstGeom prst="rect">
                      <a:avLst/>
                    </a:prstGeom>
                    <a:noFill/>
                    <a:ln>
                      <a:noFill/>
                    </a:ln>
                  </pic:spPr>
                </pic:pic>
              </a:graphicData>
            </a:graphic>
          </wp:inline>
        </w:drawing>
      </w:r>
    </w:p>
    <w:p w14:paraId="5E8BD5D5">
      <w:pPr>
        <w:ind w:firstLine="420" w:firstLineChars="0"/>
        <w:jc w:val="both"/>
        <w:rPr>
          <w:rFonts w:hint="eastAsia" w:ascii="宋体" w:hAnsi="宋体" w:eastAsia="宋体"/>
          <w:szCs w:val="21"/>
          <w:lang w:val="en-US" w:eastAsia="zh-CN"/>
        </w:rPr>
      </w:pPr>
      <w:r>
        <w:rPr>
          <w:rFonts w:hint="eastAsia" w:ascii="宋体" w:hAnsi="宋体" w:eastAsia="宋体"/>
          <w:szCs w:val="21"/>
          <w:lang w:val="en-US" w:eastAsia="zh-CN"/>
        </w:rPr>
        <w:t>按照讲义上介绍的方法，处理invtlb指令的时候为32个tlb页表项增加一个四位的cond向量，每一位分别表示该页表项是否符合四种condition的某一个；并为每个页表项增加一个7位长的mask向量，其中每一位对应该页表项是否符合invtlb—op的一种情况。</w:t>
      </w:r>
    </w:p>
    <w:p w14:paraId="7FAF9F2B">
      <w:pPr>
        <w:jc w:val="both"/>
        <w:rPr>
          <w:rFonts w:hint="eastAsia" w:ascii="宋体" w:hAnsi="宋体" w:eastAsia="宋体"/>
          <w:szCs w:val="21"/>
          <w:lang w:val="en-US" w:eastAsia="zh-CN"/>
        </w:rPr>
      </w:pPr>
      <w:r>
        <w:rPr>
          <w:rFonts w:hint="eastAsia" w:ascii="宋体" w:hAnsi="宋体" w:eastAsia="宋体"/>
          <w:szCs w:val="21"/>
          <w:lang w:val="en-US" w:eastAsia="zh-CN"/>
        </w:rPr>
        <w:t>在需要进行invtlb擦除操作时，根据invtlb-op进行对符合条件的页表项进行擦除。</w:t>
      </w:r>
    </w:p>
    <w:p w14:paraId="5F827734">
      <w:pPr>
        <w:jc w:val="both"/>
        <w:rPr>
          <w:rFonts w:hint="eastAsia" w:ascii="宋体" w:hAnsi="宋体" w:eastAsia="宋体"/>
          <w:szCs w:val="21"/>
          <w:lang w:val="en-US" w:eastAsia="zh-CN"/>
        </w:rPr>
      </w:pPr>
    </w:p>
    <w:p w14:paraId="7C708BCF">
      <w:pPr>
        <w:numPr>
          <w:ilvl w:val="0"/>
          <w:numId w:val="3"/>
        </w:numPr>
        <w:jc w:val="both"/>
        <w:rPr>
          <w:rFonts w:hint="eastAsia" w:ascii="宋体" w:hAnsi="宋体" w:eastAsia="宋体"/>
          <w:sz w:val="28"/>
          <w:szCs w:val="28"/>
          <w:lang w:val="en-US" w:eastAsia="zh-CN"/>
        </w:rPr>
      </w:pPr>
      <w:r>
        <w:rPr>
          <w:rFonts w:hint="eastAsia" w:ascii="宋体" w:hAnsi="宋体" w:eastAsia="宋体"/>
          <w:sz w:val="28"/>
          <w:szCs w:val="28"/>
          <w:lang w:val="en-US" w:eastAsia="zh-CN"/>
        </w:rPr>
        <w:t>tlbsrch、tlbrd、tlbwr、invtlb指令</w:t>
      </w:r>
    </w:p>
    <w:p w14:paraId="331C3E46">
      <w:pPr>
        <w:numPr>
          <w:ilvl w:val="0"/>
          <w:numId w:val="0"/>
        </w:numPr>
        <w:ind w:leftChars="0"/>
        <w:jc w:val="both"/>
        <w:rPr>
          <w:rFonts w:hint="default" w:ascii="宋体" w:hAnsi="宋体" w:eastAsia="宋体"/>
          <w:szCs w:val="21"/>
          <w:lang w:val="en-US" w:eastAsia="zh-CN"/>
        </w:rPr>
      </w:pPr>
      <w:r>
        <w:rPr>
          <w:rFonts w:hint="eastAsia" w:ascii="宋体" w:hAnsi="宋体" w:eastAsia="宋体"/>
          <w:szCs w:val="21"/>
          <w:lang w:val="en-US" w:eastAsia="zh-CN"/>
        </w:rPr>
        <w:t>·四条指令与tlb的交互</w:t>
      </w:r>
    </w:p>
    <w:p w14:paraId="0BD6A54C">
      <w:pPr>
        <w:numPr>
          <w:ilvl w:val="0"/>
          <w:numId w:val="0"/>
        </w:numPr>
        <w:ind w:leftChars="0" w:firstLine="420" w:firstLineChars="0"/>
        <w:jc w:val="both"/>
        <w:rPr>
          <w:rFonts w:hint="default" w:ascii="宋体" w:hAnsi="宋体" w:eastAsia="宋体"/>
          <w:szCs w:val="21"/>
          <w:lang w:val="en-US" w:eastAsia="zh-CN"/>
        </w:rPr>
      </w:pPr>
      <w:r>
        <w:rPr>
          <w:rFonts w:hint="eastAsia" w:ascii="宋体" w:hAnsi="宋体" w:eastAsia="宋体"/>
          <w:szCs w:val="21"/>
          <w:lang w:val="en-US" w:eastAsia="zh-CN"/>
        </w:rPr>
        <w:t>在EX阶段完成tlbsrch和invtlb指令与tlb模块的交互，在ID阶段译码之后，在EX模块向tlb发出tlbsrch和invtlb指令的信号。</w:t>
      </w:r>
    </w:p>
    <w:p w14:paraId="0997CB74">
      <w:pPr>
        <w:numPr>
          <w:ilvl w:val="0"/>
          <w:numId w:val="0"/>
        </w:numPr>
        <w:ind w:leftChars="0" w:firstLine="420" w:firstLineChars="0"/>
        <w:jc w:val="both"/>
        <w:rPr>
          <w:rFonts w:hint="eastAsia" w:ascii="宋体" w:hAnsi="宋体" w:eastAsia="宋体"/>
          <w:szCs w:val="21"/>
          <w:lang w:val="en-US" w:eastAsia="zh-CN"/>
        </w:rPr>
      </w:pPr>
      <w:r>
        <w:drawing>
          <wp:anchor distT="0" distB="0" distL="114300" distR="114300" simplePos="0" relativeHeight="251660288" behindDoc="1" locked="0" layoutInCell="1" allowOverlap="1">
            <wp:simplePos x="0" y="0"/>
            <wp:positionH relativeFrom="column">
              <wp:posOffset>2604770</wp:posOffset>
            </wp:positionH>
            <wp:positionV relativeFrom="paragraph">
              <wp:posOffset>26670</wp:posOffset>
            </wp:positionV>
            <wp:extent cx="2714625" cy="1477010"/>
            <wp:effectExtent l="0" t="0" r="13335" b="1270"/>
            <wp:wrapTight wrapText="bothSides">
              <wp:wrapPolygon>
                <wp:start x="0" y="0"/>
                <wp:lineTo x="0" y="21396"/>
                <wp:lineTo x="21464" y="21396"/>
                <wp:lineTo x="21464" y="0"/>
                <wp:lineTo x="0" y="0"/>
              </wp:wrapPolygon>
            </wp:wrapTight>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stretch>
                      <a:fillRect/>
                    </a:stretch>
                  </pic:blipFill>
                  <pic:spPr>
                    <a:xfrm>
                      <a:off x="0" y="0"/>
                      <a:ext cx="2714625" cy="147701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266700</wp:posOffset>
            </wp:positionH>
            <wp:positionV relativeFrom="paragraph">
              <wp:posOffset>30480</wp:posOffset>
            </wp:positionV>
            <wp:extent cx="2233295" cy="1473200"/>
            <wp:effectExtent l="0" t="0" r="6985" b="35560"/>
            <wp:wrapThrough wrapText="bothSides">
              <wp:wrapPolygon>
                <wp:start x="0" y="0"/>
                <wp:lineTo x="0" y="21451"/>
                <wp:lineTo x="21520" y="21451"/>
                <wp:lineTo x="21520" y="0"/>
                <wp:lineTo x="0" y="0"/>
              </wp:wrapPolygon>
            </wp:wrapThrough>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233295" cy="1473200"/>
                    </a:xfrm>
                    <a:prstGeom prst="rect">
                      <a:avLst/>
                    </a:prstGeom>
                    <a:noFill/>
                    <a:ln>
                      <a:noFill/>
                    </a:ln>
                  </pic:spPr>
                </pic:pic>
              </a:graphicData>
            </a:graphic>
          </wp:anchor>
        </w:drawing>
      </w:r>
      <w:r>
        <w:rPr>
          <w:rFonts w:hint="eastAsia" w:ascii="宋体" w:hAnsi="宋体" w:eastAsia="宋体"/>
          <w:szCs w:val="21"/>
          <w:lang w:val="en-US" w:eastAsia="zh-CN"/>
        </w:rPr>
        <w:t>在WB阶段完成tlbrd、tlbwr指令与tlb的交互，同时完成tlbrd、tlbwr、tlbsrch和csr的交互。</w:t>
      </w:r>
    </w:p>
    <w:p w14:paraId="78DCAF8F">
      <w:pPr>
        <w:numPr>
          <w:ilvl w:val="0"/>
          <w:numId w:val="0"/>
        </w:numPr>
        <w:ind w:leftChars="0" w:firstLine="420" w:firstLineChars="0"/>
        <w:jc w:val="center"/>
      </w:pPr>
      <w:r>
        <w:drawing>
          <wp:inline distT="0" distB="0" distL="114300" distR="114300">
            <wp:extent cx="3429635" cy="2485390"/>
            <wp:effectExtent l="0" t="0" r="14605" b="139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8"/>
                    <a:stretch>
                      <a:fillRect/>
                    </a:stretch>
                  </pic:blipFill>
                  <pic:spPr>
                    <a:xfrm>
                      <a:off x="0" y="0"/>
                      <a:ext cx="3429635" cy="2485390"/>
                    </a:xfrm>
                    <a:prstGeom prst="rect">
                      <a:avLst/>
                    </a:prstGeom>
                    <a:noFill/>
                    <a:ln>
                      <a:noFill/>
                    </a:ln>
                  </pic:spPr>
                </pic:pic>
              </a:graphicData>
            </a:graphic>
          </wp:inline>
        </w:drawing>
      </w:r>
    </w:p>
    <w:p w14:paraId="1822C168">
      <w:pPr>
        <w:numPr>
          <w:ilvl w:val="0"/>
          <w:numId w:val="3"/>
        </w:numPr>
        <w:jc w:val="both"/>
        <w:rPr>
          <w:rFonts w:hint="eastAsia" w:ascii="宋体" w:hAnsi="宋体" w:eastAsia="宋体"/>
          <w:sz w:val="28"/>
          <w:szCs w:val="28"/>
          <w:lang w:val="en-US" w:eastAsia="zh-CN"/>
        </w:rPr>
      </w:pPr>
      <w:r>
        <w:rPr>
          <w:rFonts w:hint="eastAsia" w:ascii="宋体" w:hAnsi="宋体" w:eastAsia="宋体"/>
          <w:sz w:val="28"/>
          <w:szCs w:val="28"/>
          <w:lang w:val="en-US" w:eastAsia="zh-CN"/>
        </w:rPr>
        <w:t>虚实地址转换</w:t>
      </w:r>
    </w:p>
    <w:p w14:paraId="03BCFDE6">
      <w:pPr>
        <w:widowControl w:val="0"/>
        <w:numPr>
          <w:numId w:val="0"/>
        </w:numPr>
        <w:ind w:firstLine="420" w:firstLineChars="0"/>
        <w:jc w:val="both"/>
        <w:rPr>
          <w:rFonts w:hint="eastAsia"/>
          <w:lang w:val="en-US" w:eastAsia="zh-CN"/>
        </w:rPr>
      </w:pPr>
      <w:r>
        <w:rPr>
          <w:rFonts w:hint="eastAsia"/>
          <w:lang w:val="en-US" w:eastAsia="zh-CN"/>
        </w:rPr>
        <w:t>分别在IF阶段（具体来说是pre-IF阶段）和EX阶段实现取指、访存的物理地址转换。两处地址转换逻辑基本一致，先判断是直接地址翻译还是映射地址翻译，在映射地址翻译模式时先判断直接映射窗口DMW0和DMW1是否命中，若未命中则查找TLB进行翻译。若仍无有效TLB表项命中，则会引发TLB重填异常。</w:t>
      </w:r>
    </w:p>
    <w:p w14:paraId="675F8631">
      <w:pPr>
        <w:widowControl w:val="0"/>
        <w:numPr>
          <w:numId w:val="0"/>
        </w:numPr>
        <w:jc w:val="both"/>
        <w:rPr>
          <w:rFonts w:hint="eastAsia"/>
          <w:lang w:val="en-US" w:eastAsia="zh-CN"/>
        </w:rPr>
      </w:pPr>
      <w:r>
        <w:drawing>
          <wp:inline distT="0" distB="0" distL="114300" distR="114300">
            <wp:extent cx="5267960" cy="3021965"/>
            <wp:effectExtent l="0" t="0" r="2540" b="6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267960" cy="3021965"/>
                    </a:xfrm>
                    <a:prstGeom prst="rect">
                      <a:avLst/>
                    </a:prstGeom>
                    <a:noFill/>
                    <a:ln>
                      <a:noFill/>
                    </a:ln>
                  </pic:spPr>
                </pic:pic>
              </a:graphicData>
            </a:graphic>
          </wp:inline>
        </w:drawing>
      </w:r>
    </w:p>
    <w:p w14:paraId="554C7A48">
      <w:pPr>
        <w:widowControl w:val="0"/>
        <w:numPr>
          <w:numId w:val="0"/>
        </w:numPr>
        <w:ind w:firstLine="420" w:firstLineChars="0"/>
        <w:jc w:val="both"/>
        <w:rPr>
          <w:rFonts w:hint="eastAsia"/>
          <w:lang w:val="en-US" w:eastAsia="zh-CN"/>
        </w:rPr>
      </w:pPr>
      <w:r>
        <w:rPr>
          <w:rFonts w:hint="eastAsia"/>
          <w:lang w:val="en-US" w:eastAsia="zh-CN"/>
        </w:rPr>
        <w:t>其中DMW0和DMW1两个CSR寄存器结构在参考手册上有详细说明，也没有特殊写入逻辑，以组合逻辑分别连接到IF阶段、EX阶段中进行相关模式判断以及物理地址翻译。</w:t>
      </w:r>
    </w:p>
    <w:p w14:paraId="33D0533E">
      <w:pPr>
        <w:widowControl w:val="0"/>
        <w:numPr>
          <w:numId w:val="0"/>
        </w:numPr>
        <w:ind w:firstLine="420" w:firstLineChars="0"/>
        <w:jc w:val="center"/>
        <w:rPr>
          <w:rFonts w:hint="default"/>
          <w:lang w:val="en-US" w:eastAsia="zh-CN"/>
        </w:rPr>
      </w:pPr>
      <w:r>
        <w:drawing>
          <wp:inline distT="0" distB="0" distL="114300" distR="114300">
            <wp:extent cx="4558665" cy="1846580"/>
            <wp:effectExtent l="0" t="0" r="635"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4558665" cy="1846580"/>
                    </a:xfrm>
                    <a:prstGeom prst="rect">
                      <a:avLst/>
                    </a:prstGeom>
                    <a:noFill/>
                    <a:ln>
                      <a:noFill/>
                    </a:ln>
                  </pic:spPr>
                </pic:pic>
              </a:graphicData>
            </a:graphic>
          </wp:inline>
        </w:drawing>
      </w:r>
    </w:p>
    <w:p w14:paraId="3F214FA4">
      <w:pPr>
        <w:widowControl w:val="0"/>
        <w:numPr>
          <w:ilvl w:val="0"/>
          <w:numId w:val="0"/>
        </w:numPr>
        <w:jc w:val="both"/>
        <w:rPr>
          <w:rFonts w:hint="eastAsia"/>
          <w:lang w:val="en-US" w:eastAsia="zh-CN"/>
        </w:rPr>
      </w:pPr>
      <w:r>
        <w:drawing>
          <wp:inline distT="0" distB="0" distL="114300" distR="114300">
            <wp:extent cx="5266690" cy="4679950"/>
            <wp:effectExtent l="0" t="0" r="3810"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6690" cy="4679950"/>
                    </a:xfrm>
                    <a:prstGeom prst="rect">
                      <a:avLst/>
                    </a:prstGeom>
                    <a:noFill/>
                    <a:ln>
                      <a:noFill/>
                    </a:ln>
                  </pic:spPr>
                </pic:pic>
              </a:graphicData>
            </a:graphic>
          </wp:inline>
        </w:drawing>
      </w:r>
    </w:p>
    <w:p w14:paraId="3D494542">
      <w:pPr>
        <w:widowControl w:val="0"/>
        <w:numPr>
          <w:ilvl w:val="0"/>
          <w:numId w:val="0"/>
        </w:numPr>
        <w:ind w:firstLine="420" w:firstLineChars="0"/>
        <w:jc w:val="both"/>
        <w:rPr>
          <w:rFonts w:hint="eastAsia"/>
          <w:lang w:val="en-US" w:eastAsia="zh-CN"/>
        </w:rPr>
      </w:pPr>
      <w:r>
        <w:rPr>
          <w:rFonts w:hint="eastAsia"/>
          <w:lang w:val="en-US" w:eastAsia="zh-CN"/>
        </w:rPr>
        <w:t>确认地址翻译模式后，利用组合逻辑直接选择对应模式翻译得到的物理地址即可。</w:t>
      </w:r>
    </w:p>
    <w:p w14:paraId="0E79BBE4">
      <w:pPr>
        <w:widowControl w:val="0"/>
        <w:numPr>
          <w:ilvl w:val="0"/>
          <w:numId w:val="0"/>
        </w:numPr>
        <w:jc w:val="both"/>
      </w:pPr>
      <w:r>
        <w:drawing>
          <wp:inline distT="0" distB="0" distL="114300" distR="114300">
            <wp:extent cx="5271770" cy="2901950"/>
            <wp:effectExtent l="0" t="0" r="1143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5271770" cy="2901950"/>
                    </a:xfrm>
                    <a:prstGeom prst="rect">
                      <a:avLst/>
                    </a:prstGeom>
                    <a:noFill/>
                    <a:ln>
                      <a:noFill/>
                    </a:ln>
                  </pic:spPr>
                </pic:pic>
              </a:graphicData>
            </a:graphic>
          </wp:inline>
        </w:drawing>
      </w:r>
      <w:r>
        <w:drawing>
          <wp:inline distT="0" distB="0" distL="114300" distR="114300">
            <wp:extent cx="5266055" cy="386080"/>
            <wp:effectExtent l="0" t="0" r="4445"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66055" cy="386080"/>
                    </a:xfrm>
                    <a:prstGeom prst="rect">
                      <a:avLst/>
                    </a:prstGeom>
                    <a:noFill/>
                    <a:ln>
                      <a:noFill/>
                    </a:ln>
                  </pic:spPr>
                </pic:pic>
              </a:graphicData>
            </a:graphic>
          </wp:inline>
        </w:drawing>
      </w:r>
    </w:p>
    <w:p w14:paraId="70E4782B">
      <w:pPr>
        <w:widowControl w:val="0"/>
        <w:numPr>
          <w:ilvl w:val="0"/>
          <w:numId w:val="0"/>
        </w:numPr>
        <w:ind w:firstLine="420" w:firstLineChars="0"/>
        <w:jc w:val="both"/>
        <w:rPr>
          <w:rFonts w:hint="eastAsia"/>
          <w:lang w:val="en-US" w:eastAsia="zh-CN"/>
        </w:rPr>
      </w:pPr>
      <w:r>
        <w:rPr>
          <w:rFonts w:hint="eastAsia"/>
          <w:lang w:val="en-US" w:eastAsia="zh-CN"/>
        </w:rPr>
        <w:t>访存物理地址翻译与取指类似，区别主要在于从不同端口读取页表相关数据。这一部分按照书上描述编写即可。</w:t>
      </w:r>
    </w:p>
    <w:p w14:paraId="674BF552">
      <w:pPr>
        <w:widowControl w:val="0"/>
        <w:numPr>
          <w:ilvl w:val="0"/>
          <w:numId w:val="0"/>
        </w:numPr>
        <w:ind w:firstLine="420" w:firstLineChars="0"/>
        <w:jc w:val="both"/>
        <w:rPr>
          <w:rFonts w:hint="default" w:eastAsiaTheme="minorEastAsia"/>
          <w:lang w:val="en-US" w:eastAsia="zh-CN"/>
        </w:rPr>
      </w:pPr>
      <w:r>
        <w:rPr>
          <w:rFonts w:hint="eastAsia"/>
          <w:lang w:val="en-US" w:eastAsia="zh-CN"/>
        </w:rPr>
        <w:t>注意翻译得到的物理地址只用于传给内存查找对应指令或数据，cpu内部计算、不同流水级传递的仍然为虚拟地址。</w:t>
      </w:r>
    </w:p>
    <w:p w14:paraId="6102AACA">
      <w:pPr>
        <w:numPr>
          <w:ilvl w:val="0"/>
          <w:numId w:val="3"/>
        </w:numPr>
        <w:jc w:val="both"/>
        <w:rPr>
          <w:rFonts w:hint="default" w:ascii="宋体" w:hAnsi="宋体" w:eastAsia="宋体"/>
          <w:sz w:val="28"/>
          <w:szCs w:val="28"/>
          <w:lang w:val="en-US" w:eastAsia="zh-CN"/>
        </w:rPr>
      </w:pPr>
      <w:r>
        <w:rPr>
          <w:rFonts w:hint="eastAsia" w:ascii="宋体" w:hAnsi="宋体" w:eastAsia="宋体"/>
          <w:sz w:val="28"/>
          <w:szCs w:val="28"/>
          <w:lang w:val="en-US" w:eastAsia="zh-CN"/>
        </w:rPr>
        <w:t>MMU相关异常实现</w:t>
      </w:r>
    </w:p>
    <w:p w14:paraId="183B485C">
      <w:pPr>
        <w:numPr>
          <w:numId w:val="0"/>
        </w:numPr>
        <w:ind w:leftChars="0" w:firstLine="420" w:firstLineChars="0"/>
        <w:jc w:val="both"/>
        <w:rPr>
          <w:rFonts w:hint="eastAsia" w:ascii="宋体" w:hAnsi="宋体" w:eastAsia="宋体"/>
          <w:szCs w:val="21"/>
          <w:lang w:val="en-US" w:eastAsia="zh-CN"/>
        </w:rPr>
      </w:pPr>
      <w:r>
        <w:rPr>
          <w:rFonts w:hint="eastAsia" w:ascii="宋体" w:hAnsi="宋体" w:eastAsia="宋体"/>
          <w:szCs w:val="21"/>
          <w:lang w:val="en-US" w:eastAsia="zh-CN"/>
        </w:rPr>
        <w:t>新添加六种MMU相关异常，按照指令手册上叙述进行判定，然后把相应信号连接到例外相应相关信号，如csr_ecode等。</w:t>
      </w:r>
    </w:p>
    <w:p w14:paraId="72492BCB">
      <w:pPr>
        <w:numPr>
          <w:numId w:val="0"/>
        </w:numPr>
        <w:ind w:leftChars="0" w:firstLine="420" w:firstLineChars="0"/>
        <w:jc w:val="both"/>
        <w:rPr>
          <w:rFonts w:hint="eastAsia" w:ascii="宋体" w:hAnsi="宋体" w:eastAsia="宋体"/>
          <w:szCs w:val="21"/>
          <w:lang w:val="en-US" w:eastAsia="zh-CN"/>
        </w:rPr>
      </w:pPr>
      <w:r>
        <w:rPr>
          <w:rFonts w:hint="eastAsia" w:ascii="宋体" w:hAnsi="宋体" w:eastAsia="宋体"/>
          <w:szCs w:val="21"/>
          <w:lang w:val="en-US" w:eastAsia="zh-CN"/>
        </w:rPr>
        <w:t>MMU相关异常的判断主要发生在IF级和EX级。IF级需要判断TLB重填、页特权等级不合规、取指操作页无效的异常，EX级除了取指页无效外其他例外都需要判断。</w:t>
      </w:r>
    </w:p>
    <w:p w14:paraId="28942F4B">
      <w:pPr>
        <w:numPr>
          <w:numId w:val="0"/>
        </w:numPr>
        <w:ind w:leftChars="0" w:firstLine="420" w:firstLineChars="0"/>
        <w:jc w:val="both"/>
      </w:pPr>
      <w:r>
        <w:drawing>
          <wp:inline distT="0" distB="0" distL="114300" distR="114300">
            <wp:extent cx="5273675" cy="1464310"/>
            <wp:effectExtent l="0" t="0" r="9525" b="889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4"/>
                    <a:stretch>
                      <a:fillRect/>
                    </a:stretch>
                  </pic:blipFill>
                  <pic:spPr>
                    <a:xfrm>
                      <a:off x="0" y="0"/>
                      <a:ext cx="5273675" cy="1464310"/>
                    </a:xfrm>
                    <a:prstGeom prst="rect">
                      <a:avLst/>
                    </a:prstGeom>
                    <a:noFill/>
                    <a:ln>
                      <a:noFill/>
                    </a:ln>
                  </pic:spPr>
                </pic:pic>
              </a:graphicData>
            </a:graphic>
          </wp:inline>
        </w:drawing>
      </w:r>
    </w:p>
    <w:p w14:paraId="10AA6666">
      <w:pPr>
        <w:pStyle w:val="2"/>
        <w:numPr>
          <w:numId w:val="0"/>
        </w:numPr>
        <w:ind w:leftChars="0" w:firstLine="420"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IF级例外判断</w:t>
      </w:r>
    </w:p>
    <w:p w14:paraId="5C39F63E">
      <w:pPr>
        <w:ind w:firstLine="420" w:firstLineChars="0"/>
      </w:pPr>
      <w:r>
        <w:drawing>
          <wp:inline distT="0" distB="0" distL="114300" distR="114300">
            <wp:extent cx="5267325" cy="892810"/>
            <wp:effectExtent l="0" t="0" r="3175" b="889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
                    <a:stretch>
                      <a:fillRect/>
                    </a:stretch>
                  </pic:blipFill>
                  <pic:spPr>
                    <a:xfrm>
                      <a:off x="0" y="0"/>
                      <a:ext cx="5267325" cy="892810"/>
                    </a:xfrm>
                    <a:prstGeom prst="rect">
                      <a:avLst/>
                    </a:prstGeom>
                    <a:noFill/>
                    <a:ln>
                      <a:noFill/>
                    </a:ln>
                  </pic:spPr>
                </pic:pic>
              </a:graphicData>
            </a:graphic>
          </wp:inline>
        </w:drawing>
      </w:r>
    </w:p>
    <w:p w14:paraId="74BFBA21">
      <w:pPr>
        <w:pStyle w:val="2"/>
        <w:ind w:firstLine="420" w:firstLineChars="0"/>
        <w:jc w:val="center"/>
        <w:rPr>
          <w:rFonts w:hint="default"/>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EX级例外判断</w:t>
      </w:r>
    </w:p>
    <w:p w14:paraId="16A70150">
      <w:pPr>
        <w:numPr>
          <w:numId w:val="0"/>
        </w:numPr>
        <w:ind w:leftChars="0" w:firstLine="420" w:firstLineChars="0"/>
        <w:jc w:val="both"/>
        <w:rPr>
          <w:rFonts w:hint="default" w:ascii="宋体" w:hAnsi="宋体" w:eastAsia="宋体"/>
          <w:szCs w:val="21"/>
          <w:lang w:val="en-US" w:eastAsia="zh-CN"/>
        </w:rPr>
      </w:pPr>
      <w:r>
        <w:rPr>
          <w:rFonts w:hint="eastAsia" w:ascii="宋体" w:hAnsi="宋体" w:eastAsia="宋体"/>
          <w:szCs w:val="21"/>
          <w:lang w:val="en-US" w:eastAsia="zh-CN"/>
        </w:rPr>
        <w:t>此外，MMU相关例外在相应时还需要额外保存信息到BADV和TLBEHI中，需要在csr中添加相关写入逻辑</w:t>
      </w:r>
    </w:p>
    <w:p w14:paraId="3DD20A20">
      <w:pPr>
        <w:widowControl w:val="0"/>
        <w:numPr>
          <w:numId w:val="0"/>
        </w:numPr>
        <w:jc w:val="both"/>
        <w:rPr>
          <w:rFonts w:hint="eastAsia"/>
          <w:lang w:val="en-US" w:eastAsia="zh-CN"/>
        </w:rPr>
      </w:pPr>
      <w:r>
        <w:drawing>
          <wp:inline distT="0" distB="0" distL="114300" distR="114300">
            <wp:extent cx="5273675" cy="1513840"/>
            <wp:effectExtent l="0" t="0" r="952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5273675" cy="1513840"/>
                    </a:xfrm>
                    <a:prstGeom prst="rect">
                      <a:avLst/>
                    </a:prstGeom>
                    <a:noFill/>
                    <a:ln>
                      <a:noFill/>
                    </a:ln>
                  </pic:spPr>
                </pic:pic>
              </a:graphicData>
            </a:graphic>
          </wp:inline>
        </w:drawing>
      </w:r>
    </w:p>
    <w:p w14:paraId="47FC8D30">
      <w:pPr>
        <w:widowControl w:val="0"/>
        <w:numPr>
          <w:numId w:val="0"/>
        </w:numPr>
        <w:ind w:firstLine="420" w:firstLineChars="0"/>
        <w:jc w:val="both"/>
        <w:rPr>
          <w:rFonts w:hint="eastAsia"/>
          <w:lang w:val="en-US" w:eastAsia="zh-CN"/>
        </w:rPr>
      </w:pPr>
      <w:r>
        <w:rPr>
          <w:rFonts w:hint="eastAsia"/>
          <w:lang w:val="en-US" w:eastAsia="zh-CN"/>
        </w:rPr>
        <w:t>另外需要注意，TLB重填异常的入口是通过TLBRENTRY单独配置的，因而当发生TLB重填异常时，读取的csr_num需要设置为TLBRENTRY对应序号</w:t>
      </w:r>
    </w:p>
    <w:p w14:paraId="1E9AB9E1">
      <w:pPr>
        <w:widowControl w:val="0"/>
        <w:numPr>
          <w:numId w:val="0"/>
        </w:numPr>
        <w:jc w:val="both"/>
        <w:rPr>
          <w:rFonts w:hint="default"/>
          <w:lang w:val="en-US" w:eastAsia="zh-CN"/>
        </w:rPr>
      </w:pPr>
      <w:r>
        <w:drawing>
          <wp:inline distT="0" distB="0" distL="114300" distR="114300">
            <wp:extent cx="5266690" cy="327025"/>
            <wp:effectExtent l="0" t="0" r="3810" b="317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7"/>
                    <a:stretch>
                      <a:fillRect/>
                    </a:stretch>
                  </pic:blipFill>
                  <pic:spPr>
                    <a:xfrm>
                      <a:off x="0" y="0"/>
                      <a:ext cx="5266690" cy="327025"/>
                    </a:xfrm>
                    <a:prstGeom prst="rect">
                      <a:avLst/>
                    </a:prstGeom>
                    <a:noFill/>
                    <a:ln>
                      <a:noFill/>
                    </a:ln>
                  </pic:spPr>
                </pic:pic>
              </a:graphicData>
            </a:graphic>
          </wp:inline>
        </w:drawing>
      </w:r>
    </w:p>
    <w:p w14:paraId="4D43C93A">
      <w:pPr>
        <w:pStyle w:val="5"/>
        <w:numPr>
          <w:ilvl w:val="0"/>
          <w:numId w:val="1"/>
        </w:numPr>
        <w:ind w:firstLineChars="0"/>
        <w:rPr>
          <w:rFonts w:ascii="宋体" w:hAnsi="宋体" w:eastAsia="宋体"/>
          <w:b/>
          <w:bCs/>
          <w:sz w:val="29"/>
          <w:szCs w:val="29"/>
        </w:rPr>
      </w:pPr>
      <w:r>
        <w:rPr>
          <w:rFonts w:hint="eastAsia" w:ascii="宋体" w:hAnsi="宋体" w:eastAsia="宋体"/>
          <w:b/>
          <w:bCs/>
          <w:sz w:val="29"/>
          <w:szCs w:val="29"/>
        </w:rPr>
        <w:t>实验过程中遇到的问题以及debug心得</w:t>
      </w:r>
    </w:p>
    <w:p w14:paraId="3A5FC99B">
      <w:pPr>
        <w:pStyle w:val="5"/>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1.tlb模块中cond和mask向量的处理：</w:t>
      </w:r>
    </w:p>
    <w:p w14:paraId="0287DC96">
      <w:pPr>
        <w:pStyle w:val="5"/>
        <w:numPr>
          <w:ilvl w:val="0"/>
          <w:numId w:val="0"/>
        </w:numPr>
        <w:ind w:leftChars="0"/>
        <w:jc w:val="center"/>
      </w:pPr>
      <w:r>
        <w:drawing>
          <wp:inline distT="0" distB="0" distL="114300" distR="114300">
            <wp:extent cx="4161790" cy="2244725"/>
            <wp:effectExtent l="0" t="0" r="13970" b="1079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8"/>
                    <a:stretch>
                      <a:fillRect/>
                    </a:stretch>
                  </pic:blipFill>
                  <pic:spPr>
                    <a:xfrm>
                      <a:off x="0" y="0"/>
                      <a:ext cx="4161790" cy="2244725"/>
                    </a:xfrm>
                    <a:prstGeom prst="rect">
                      <a:avLst/>
                    </a:prstGeom>
                    <a:noFill/>
                    <a:ln>
                      <a:noFill/>
                    </a:ln>
                  </pic:spPr>
                </pic:pic>
              </a:graphicData>
            </a:graphic>
          </wp:inline>
        </w:drawing>
      </w:r>
    </w:p>
    <w:p w14:paraId="408ACD47">
      <w:pPr>
        <w:pStyle w:val="5"/>
        <w:numPr>
          <w:ilvl w:val="0"/>
          <w:numId w:val="0"/>
        </w:numPr>
        <w:ind w:leftChars="0"/>
        <w:jc w:val="both"/>
        <w:rPr>
          <w:rFonts w:hint="default" w:eastAsiaTheme="minorEastAsia"/>
          <w:lang w:val="en-US" w:eastAsia="zh-CN"/>
        </w:rPr>
      </w:pPr>
      <w:r>
        <w:rPr>
          <w:rFonts w:hint="eastAsia"/>
          <w:lang w:val="en-US" w:eastAsia="zh-CN"/>
        </w:rPr>
        <w:t>需要注意两个二维向量的命名方式：如果搞反了mask或cond向量前后的两个中括号的内容，可能会导致mask向量在赋值的时候出错，变成全X。</w:t>
      </w:r>
    </w:p>
    <w:p w14:paraId="0CECDC04">
      <w:pPr>
        <w:rPr>
          <w:rFonts w:hint="eastAsia" w:ascii="宋体" w:hAnsi="宋体" w:eastAsia="宋体"/>
          <w:szCs w:val="21"/>
          <w:lang w:val="en-US" w:eastAsia="zh-CN"/>
        </w:rPr>
      </w:pPr>
      <w:r>
        <w:rPr>
          <w:rFonts w:hint="eastAsia" w:ascii="宋体" w:hAnsi="宋体" w:eastAsia="宋体"/>
          <w:szCs w:val="21"/>
          <w:lang w:val="en-US" w:eastAsia="zh-CN"/>
        </w:rPr>
        <w:t>2.tlb异常处理中需要将引发异常的虚地址保存到CSR.BADV中，将虚地址的[31:12]位写入CSR.TLBEHI的VPPN域。需要注意这里所说的是引发异常的虚地址，而TLB重填、页特权等级不合规例外无法直接从例外类型判断到底是取指还是访存地址引发异常，故需要额外引入相关接口，方便这里进行判断。</w:t>
      </w:r>
    </w:p>
    <w:p w14:paraId="22195061">
      <w:pPr>
        <w:jc w:val="center"/>
        <w:rPr>
          <w:rFonts w:hint="default" w:ascii="宋体" w:hAnsi="宋体" w:eastAsia="宋体"/>
          <w:szCs w:val="21"/>
          <w:lang w:val="en-US" w:eastAsia="zh-CN"/>
        </w:rPr>
      </w:pPr>
      <w:r>
        <w:drawing>
          <wp:inline distT="0" distB="0" distL="114300" distR="114300">
            <wp:extent cx="4042410" cy="778510"/>
            <wp:effectExtent l="0" t="0" r="8890" b="889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9"/>
                    <a:stretch>
                      <a:fillRect/>
                    </a:stretch>
                  </pic:blipFill>
                  <pic:spPr>
                    <a:xfrm>
                      <a:off x="0" y="0"/>
                      <a:ext cx="4042410" cy="778510"/>
                    </a:xfrm>
                    <a:prstGeom prst="rect">
                      <a:avLst/>
                    </a:prstGeom>
                    <a:noFill/>
                    <a:ln>
                      <a:noFill/>
                    </a:ln>
                  </pic:spPr>
                </pic:pic>
              </a:graphicData>
            </a:graphic>
          </wp:inline>
        </w:drawing>
      </w:r>
      <w:bookmarkStart w:id="0" w:name="_GoBack"/>
      <w:bookmarkEnd w:id="0"/>
      <w:r>
        <w:drawing>
          <wp:inline distT="0" distB="0" distL="114300" distR="114300">
            <wp:extent cx="5269865" cy="720725"/>
            <wp:effectExtent l="0" t="0" r="635" b="317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20"/>
                    <a:stretch>
                      <a:fillRect/>
                    </a:stretch>
                  </pic:blipFill>
                  <pic:spPr>
                    <a:xfrm>
                      <a:off x="0" y="0"/>
                      <a:ext cx="5269865" cy="720725"/>
                    </a:xfrm>
                    <a:prstGeom prst="rect">
                      <a:avLst/>
                    </a:prstGeom>
                    <a:noFill/>
                    <a:ln>
                      <a:noFill/>
                    </a:ln>
                  </pic:spPr>
                </pic:pic>
              </a:graphicData>
            </a:graphic>
          </wp:inline>
        </w:drawing>
      </w:r>
    </w:p>
    <w:p w14:paraId="4E194876">
      <w:pPr>
        <w:pStyle w:val="5"/>
        <w:numPr>
          <w:ilvl w:val="0"/>
          <w:numId w:val="1"/>
        </w:numPr>
        <w:ind w:firstLineChars="0"/>
        <w:rPr>
          <w:rFonts w:ascii="宋体" w:hAnsi="宋体" w:eastAsia="宋体"/>
          <w:b/>
          <w:bCs/>
          <w:sz w:val="29"/>
          <w:szCs w:val="29"/>
        </w:rPr>
      </w:pPr>
      <w:r>
        <w:rPr>
          <w:rFonts w:hint="eastAsia" w:ascii="宋体" w:hAnsi="宋体" w:eastAsia="宋体"/>
          <w:b/>
          <w:bCs/>
          <w:sz w:val="29"/>
          <w:szCs w:val="29"/>
        </w:rPr>
        <w:t>实验分工</w:t>
      </w:r>
    </w:p>
    <w:p w14:paraId="4B36D130">
      <w:pPr>
        <w:rPr>
          <w:rFonts w:hint="default" w:ascii="宋体" w:hAnsi="宋体" w:eastAsia="宋体"/>
          <w:szCs w:val="21"/>
          <w:lang w:val="en-US" w:eastAsia="zh-CN"/>
        </w:rPr>
      </w:pPr>
      <w:r>
        <w:rPr>
          <w:rFonts w:hint="eastAsia" w:ascii="宋体" w:hAnsi="宋体" w:eastAsia="宋体"/>
          <w:szCs w:val="21"/>
          <w:lang w:val="en-US" w:eastAsia="zh-CN"/>
        </w:rPr>
        <w:t>张钰堃负责完成exp17和exp18，刘景平负责完成exp19。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666C2"/>
    <w:multiLevelType w:val="singleLevel"/>
    <w:tmpl w:val="9EE666C2"/>
    <w:lvl w:ilvl="0" w:tentative="0">
      <w:start w:val="1"/>
      <w:numFmt w:val="chineseCounting"/>
      <w:suff w:val="nothing"/>
      <w:lvlText w:val="（%1）"/>
      <w:lvlJc w:val="left"/>
      <w:rPr>
        <w:rFonts w:hint="eastAsia"/>
      </w:rPr>
    </w:lvl>
  </w:abstractNum>
  <w:abstractNum w:abstractNumId="1">
    <w:nsid w:val="A3859997"/>
    <w:multiLevelType w:val="singleLevel"/>
    <w:tmpl w:val="A3859997"/>
    <w:lvl w:ilvl="0" w:tentative="0">
      <w:start w:val="1"/>
      <w:numFmt w:val="chineseCounting"/>
      <w:suff w:val="nothing"/>
      <w:lvlText w:val="（%1）"/>
      <w:lvlJc w:val="left"/>
      <w:rPr>
        <w:rFonts w:hint="eastAsia"/>
      </w:rPr>
    </w:lvl>
  </w:abstractNum>
  <w:abstractNum w:abstractNumId="2">
    <w:nsid w:val="29BC3A2E"/>
    <w:multiLevelType w:val="multilevel"/>
    <w:tmpl w:val="29BC3A2E"/>
    <w:lvl w:ilvl="0" w:tentative="0">
      <w:start w:val="1"/>
      <w:numFmt w:val="japaneseCounting"/>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jMzI5MjMwZWZjODhmMGUwOWE1NWRmYjEzZjBiYmQifQ=="/>
  </w:docVars>
  <w:rsids>
    <w:rsidRoot w:val="008774FE"/>
    <w:rsid w:val="0000150F"/>
    <w:rsid w:val="00020B93"/>
    <w:rsid w:val="00033493"/>
    <w:rsid w:val="000374F4"/>
    <w:rsid w:val="00075D79"/>
    <w:rsid w:val="000C0B8C"/>
    <w:rsid w:val="00121C1B"/>
    <w:rsid w:val="00151370"/>
    <w:rsid w:val="00187AD7"/>
    <w:rsid w:val="00196B65"/>
    <w:rsid w:val="001C5B72"/>
    <w:rsid w:val="00227661"/>
    <w:rsid w:val="002315FF"/>
    <w:rsid w:val="002A3DCA"/>
    <w:rsid w:val="002C77C3"/>
    <w:rsid w:val="002D00B1"/>
    <w:rsid w:val="002F6261"/>
    <w:rsid w:val="003072D0"/>
    <w:rsid w:val="0033273C"/>
    <w:rsid w:val="003748EC"/>
    <w:rsid w:val="00382448"/>
    <w:rsid w:val="00385DD8"/>
    <w:rsid w:val="00386799"/>
    <w:rsid w:val="003D2055"/>
    <w:rsid w:val="00402992"/>
    <w:rsid w:val="00445E13"/>
    <w:rsid w:val="00446B6A"/>
    <w:rsid w:val="0049470E"/>
    <w:rsid w:val="004A5291"/>
    <w:rsid w:val="004D287D"/>
    <w:rsid w:val="0050152E"/>
    <w:rsid w:val="005162BF"/>
    <w:rsid w:val="005232A4"/>
    <w:rsid w:val="005724E3"/>
    <w:rsid w:val="00582711"/>
    <w:rsid w:val="005D08FC"/>
    <w:rsid w:val="00602FB7"/>
    <w:rsid w:val="00635199"/>
    <w:rsid w:val="00643F43"/>
    <w:rsid w:val="006678D9"/>
    <w:rsid w:val="00684C0D"/>
    <w:rsid w:val="006A3CF1"/>
    <w:rsid w:val="006B1FFE"/>
    <w:rsid w:val="006F4B20"/>
    <w:rsid w:val="007024F0"/>
    <w:rsid w:val="007623A6"/>
    <w:rsid w:val="007A2098"/>
    <w:rsid w:val="007C335A"/>
    <w:rsid w:val="007D51FD"/>
    <w:rsid w:val="00826C8D"/>
    <w:rsid w:val="008774FE"/>
    <w:rsid w:val="008955A1"/>
    <w:rsid w:val="008B5645"/>
    <w:rsid w:val="008C1D0E"/>
    <w:rsid w:val="00904BEA"/>
    <w:rsid w:val="00921606"/>
    <w:rsid w:val="00927F06"/>
    <w:rsid w:val="00932992"/>
    <w:rsid w:val="009336B3"/>
    <w:rsid w:val="00977BF9"/>
    <w:rsid w:val="009B63B2"/>
    <w:rsid w:val="00A3303C"/>
    <w:rsid w:val="00A839CB"/>
    <w:rsid w:val="00A90E8A"/>
    <w:rsid w:val="00AA0591"/>
    <w:rsid w:val="00AC4273"/>
    <w:rsid w:val="00AD06FC"/>
    <w:rsid w:val="00AD5AC7"/>
    <w:rsid w:val="00B022AB"/>
    <w:rsid w:val="00B3719F"/>
    <w:rsid w:val="00B623DC"/>
    <w:rsid w:val="00B72F4D"/>
    <w:rsid w:val="00B75347"/>
    <w:rsid w:val="00BF2147"/>
    <w:rsid w:val="00C255E1"/>
    <w:rsid w:val="00C60A0A"/>
    <w:rsid w:val="00C73067"/>
    <w:rsid w:val="00C87753"/>
    <w:rsid w:val="00CE1A02"/>
    <w:rsid w:val="00CE5706"/>
    <w:rsid w:val="00D97AC0"/>
    <w:rsid w:val="00DA6EB4"/>
    <w:rsid w:val="00E01608"/>
    <w:rsid w:val="00E223FD"/>
    <w:rsid w:val="00E32720"/>
    <w:rsid w:val="00E71385"/>
    <w:rsid w:val="00EA03F4"/>
    <w:rsid w:val="00F03CF3"/>
    <w:rsid w:val="00F312EE"/>
    <w:rsid w:val="00F45C50"/>
    <w:rsid w:val="00F63755"/>
    <w:rsid w:val="00F92F75"/>
    <w:rsid w:val="00FC75B3"/>
    <w:rsid w:val="00FE70A6"/>
    <w:rsid w:val="0C80637E"/>
    <w:rsid w:val="1AFA46B3"/>
    <w:rsid w:val="1F8E53EB"/>
    <w:rsid w:val="25AE3087"/>
    <w:rsid w:val="39536EC1"/>
    <w:rsid w:val="3B5D3EC9"/>
    <w:rsid w:val="48170127"/>
    <w:rsid w:val="502D465A"/>
    <w:rsid w:val="50DB22B8"/>
    <w:rsid w:val="51E000E1"/>
    <w:rsid w:val="59705D90"/>
    <w:rsid w:val="5A786F71"/>
    <w:rsid w:val="6C5B17E1"/>
    <w:rsid w:val="72D02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5">
    <w:name w:val="List Paragraph"/>
    <w:basedOn w:val="1"/>
    <w:qFormat/>
    <w:uiPriority w:val="34"/>
    <w:pPr>
      <w:ind w:firstLine="420" w:firstLineChars="200"/>
    </w:pPr>
  </w:style>
  <w:style w:type="character" w:styleId="6">
    <w:name w:val="Placeholder Text"/>
    <w:basedOn w:val="4"/>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785</Words>
  <Characters>1116</Characters>
  <Lines>12</Lines>
  <Paragraphs>3</Paragraphs>
  <TotalTime>24</TotalTime>
  <ScaleCrop>false</ScaleCrop>
  <LinksUpToDate>false</LinksUpToDate>
  <CharactersWithSpaces>1205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2024-10-21T06:13:00Z</dcterms:created>
  <dc:creator>博宇 付</dc:creator>
  <cp:lastModifiedBy>随便</cp:lastModifiedBy>
  <dcterms:modified xsi:type="dcterms:W3CDTF">2024-11-26T08:58:53Z</dcterms:modified>
  <cp:revision>161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646A8E33696342D6962577C31178993C_13</vt:lpwstr>
  </property>
</Properties>
</file>