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4C5F6">
      <w:pPr>
        <w:spacing w:before="1400"/>
        <w:jc w:val="center"/>
      </w:pPr>
      <w:r>
        <w:rPr>
          <w:rFonts w:ascii="Times New Roman" w:hAnsi="Times New Roman" w:eastAsia="宋体"/>
          <w:b/>
          <w:sz w:val="44"/>
        </w:rPr>
        <w:t>面向机器故障排查的 RAG 增强型 Plan-Execute-Replan Agent 设计与实验研究</w:t>
      </w:r>
    </w:p>
    <w:p w14:paraId="11405685">
      <w:r>
        <w:br w:type="page"/>
      </w:r>
    </w:p>
    <w:p w14:paraId="3631846D">
      <w:pPr>
        <w:pStyle w:val="32"/>
        <w:jc w:val="center"/>
      </w:pPr>
      <w:bookmarkStart w:id="0" w:name="_GoBack"/>
      <w:bookmarkEnd w:id="0"/>
      <w:r>
        <w:rPr>
          <w:rFonts w:ascii="Times New Roman" w:hAnsi="Times New Roman" w:eastAsia="宋体"/>
        </w:rPr>
        <w:t>摘  要</w:t>
      </w:r>
    </w:p>
    <w:p w14:paraId="3281E4D3">
      <w:r>
        <w:rPr>
          <w:rFonts w:ascii="Times New Roman" w:hAnsi="Times New Roman" w:eastAsia="宋体"/>
        </w:rPr>
        <w:t>随着企业设备与信息系统规模不断扩大，故障排查逐渐从单一日志检索转向多源知识理解、指标关联分析和处置流程推理。传统运维知识通常分散在维修手册、故障指南、历史工单与监控日志中，检索效率低、证据链不完整、知识更新滞后，难以支撑复杂故障场景下的智能诊断。针对上述问题，本文设计并实现了一个面向机器故障排查的智能运维原型系统 SuperBizAgent。系统以 FastAPI 为服务入口，以 LangChain/LangGraph 为 Agent 编排基础，以 Milvus 和 PostgreSQL 作为知识索引与审计存储底座，形成了知识问答与故障诊断两条互补链路。</w:t>
      </w:r>
    </w:p>
    <w:p w14:paraId="64976325">
      <w:r>
        <w:rPr>
          <w:rFonts w:ascii="Times New Roman" w:hAnsi="Times New Roman" w:eastAsia="宋体"/>
        </w:rPr>
        <w:t>在知识问答链路中，系统构建了面向运维文档的 RAG 模块，支持 PDF、Markdown 与文本文件接入，采用结构感知切分、向量召回与 BM25 召回融合、启发式重排、置信度评估和多轮会话记忆压缩等机制。针对检索证据不足或低置信度回答风险，系统进一步设计了低置信事件沉淀、问题指纹聚合、人工 chunk 修订和索引回写机制，使知识库具备持续演进能力。在故障诊断链路中，系统基于 Plan-Execute-Replan 模式构建 AIOps Agent，通过 planner、executor 与 replanner 的状态流协同，实现知识检索、工具调用、过程追踪与诊断报告生成。</w:t>
      </w:r>
    </w:p>
    <w:p w14:paraId="392E6C2A">
      <w:r>
        <w:rPr>
          <w:rFonts w:ascii="Times New Roman" w:hAnsi="Times New Roman" w:eastAsia="宋体"/>
        </w:rPr>
        <w:t>本文同时给出可复现实验设计：一方面围绕 RAG 模块开展检索层与回答层评测，分析混合召回、重排和置信度分层对 Recall@k、MRR 与回答可信度的影响；另一方面围绕 Agent 模块构建固定案例回放实验，比较直接生成、单循环工具调用与 Plan-Execute-Replan 模式在根因分析、证据完整性、建议可执行性和执行成本上的差异。根据当前实现状态，本文明确区分已具备实验基础的能力与仍需小幅工程补充的内容，避免将模拟 MCP 服务误表述为真实生产平台接入。</w:t>
      </w:r>
    </w:p>
    <w:p w14:paraId="44D731A1">
      <w:r>
        <w:rPr>
          <w:rFonts w:ascii="Times New Roman" w:hAnsi="Times New Roman" w:eastAsia="宋体"/>
        </w:rPr>
        <w:t>关键词：智能运维；检索增强生成；Plan-Execute-Replan；低置信闭环；故障诊断</w:t>
      </w:r>
    </w:p>
    <w:p w14:paraId="19D5669F">
      <w:pPr>
        <w:pStyle w:val="32"/>
      </w:pPr>
      <w:r>
        <w:rPr>
          <w:rFonts w:ascii="Times New Roman" w:hAnsi="Times New Roman" w:eastAsia="宋体"/>
        </w:rPr>
        <w:t>Abstract</w:t>
      </w:r>
    </w:p>
    <w:p w14:paraId="3542A432">
      <w:r>
        <w:rPr>
          <w:rFonts w:ascii="Times New Roman" w:hAnsi="Times New Roman" w:eastAsia="宋体"/>
        </w:rPr>
        <w:t>This thesis demo presents SuperBizAgent, an intelligent operations prototype for machine fault troubleshooting. The system combines a retrieval-augmented generation module for maintenance knowledge question answering and a Plan-Execute-Replan agent for diagnostic reasoning. The implementation is built around FastAPI, LangChain/LangGraph, Milvus and PostgreSQL, and provides document ingestion, hybrid retrieval, reranking, confidence assessment, low-confidence event curation, tool invocation and streaming diagnostic reports. The proposed experiment design evaluates both retrieval quality and agent reasoning quality while explicitly separating validated prototype capabilities from components that still rely on simulated MCP services.</w:t>
      </w:r>
    </w:p>
    <w:p w14:paraId="5F1A79BA">
      <w:r>
        <w:rPr>
          <w:rFonts w:ascii="Times New Roman" w:hAnsi="Times New Roman" w:eastAsia="宋体"/>
        </w:rPr>
        <w:t>Keywords: AIOps; RAG; Plan-Execute-Replan; confidence assessment; fault diagnosis</w:t>
      </w:r>
    </w:p>
    <w:p w14:paraId="1ACDD378">
      <w:r>
        <w:br w:type="page"/>
      </w:r>
    </w:p>
    <w:p w14:paraId="29A73E88">
      <w:pPr>
        <w:pStyle w:val="32"/>
      </w:pPr>
      <w:r>
        <w:rPr>
          <w:rFonts w:ascii="Times New Roman" w:hAnsi="Times New Roman" w:eastAsia="宋体"/>
        </w:rPr>
        <w:t>目  录</w:t>
      </w:r>
    </w:p>
    <w:p w14:paraId="41B2FE14">
      <w:r>
        <w:br w:type="page"/>
      </w:r>
    </w:p>
    <w:p w14:paraId="0F9FC00A">
      <w:pPr>
        <w:pStyle w:val="3"/>
      </w:pPr>
      <w:r>
        <w:rPr>
          <w:rFonts w:ascii="Times New Roman" w:hAnsi="Times New Roman" w:eastAsia="宋体"/>
        </w:rPr>
        <w:t>第 1 章 绪论</w:t>
      </w:r>
    </w:p>
    <w:p w14:paraId="1D7F0E24">
      <w:pPr>
        <w:pStyle w:val="4"/>
      </w:pPr>
      <w:r>
        <w:rPr>
          <w:rFonts w:ascii="Times New Roman" w:hAnsi="Times New Roman" w:eastAsia="宋体"/>
        </w:rPr>
        <w:t>1.1 研究背景</w:t>
      </w:r>
    </w:p>
    <w:p w14:paraId="4FDD3994">
      <w:r>
        <w:rPr>
          <w:rFonts w:ascii="Times New Roman" w:hAnsi="Times New Roman" w:eastAsia="宋体"/>
        </w:rPr>
        <w:t>企业级设备维修与智能运维场景中，故障排查往往需要同时理解设备手册、告警文本、监控指标、历史工单和处置经验。传统检索系统通常依赖关键词匹配，虽然能够快速返回包含相同词项的文档片段，但难以处理故障现象与维修术语之间的语义差异；通用大模型虽然具备生成能力，但在缺少可靠证据支撑时容易产生泛化回答，无法满足运维诊断对可解释性和可追溯性的要求。</w:t>
      </w:r>
    </w:p>
    <w:p w14:paraId="5D340FB0">
      <w:r>
        <w:rPr>
          <w:rFonts w:ascii="Times New Roman" w:hAnsi="Times New Roman" w:eastAsia="宋体"/>
        </w:rPr>
        <w:t>检索增强生成（Retrieval-Augmented Generation, RAG）为上述问题提供了一条可行路径。RAG 通过在生成前检索外部知识，能够把维修文档和运维经验显式纳入模型上下文，降低纯生成式回答的幻觉风险。然而，简单的向量检索仍可能出现召回不足、排序不稳定和证据置信度不可解释等问题。对于故障排查任务而言，系统不仅需要回答“是什么”，还需要说明“依据是什么”“是否足够可信”以及“知识缺口如何补齐”。</w:t>
      </w:r>
    </w:p>
    <w:p w14:paraId="394BC507">
      <w:r>
        <w:rPr>
          <w:rFonts w:ascii="Times New Roman" w:hAnsi="Times New Roman" w:eastAsia="宋体"/>
        </w:rPr>
        <w:t>与此同时，复杂故障诊断通常不是一次问答即可完成的任务。系统需要根据当前信息制定检查计划，调用日志、监控或知识检索工具，观察结果后再决定是否继续排查或修正计划。因此，Plan-Execute-Replan 类型的 Agent 编排模式适合表达“规划、执行、反思、收敛”的诊断过程。本文围绕这一思路，将 RAG 知识检索与 Agent 工具调用相结合，形成面向机器故障排查的智能运维原型系统。</w:t>
      </w:r>
    </w:p>
    <w:p w14:paraId="346DC93F">
      <w:pPr>
        <w:pStyle w:val="4"/>
      </w:pPr>
      <w:r>
        <w:rPr>
          <w:rFonts w:ascii="Times New Roman" w:hAnsi="Times New Roman" w:eastAsia="宋体"/>
        </w:rPr>
        <w:t>1.2 研究问题</w:t>
      </w:r>
    </w:p>
    <w:p w14:paraId="269F9DD5">
      <w:r>
        <w:rPr>
          <w:rFonts w:ascii="Times New Roman" w:hAnsi="Times New Roman" w:eastAsia="宋体"/>
        </w:rPr>
        <w:t>本文围绕知识问答与故障诊断两个核心模块提出如下研究问题：</w:t>
      </w:r>
    </w:p>
    <w:p w14:paraId="4BDCA512">
      <w:pPr>
        <w:pStyle w:val="16"/>
        <w:numPr>
          <w:numId w:val="0"/>
        </w:numPr>
        <w:ind w:leftChars="0"/>
      </w:pPr>
      <w:r>
        <w:rPr>
          <w:rFonts w:hint="eastAsia"/>
          <w:lang w:val="en-US" w:eastAsia="zh-CN"/>
        </w:rPr>
        <w:tab/>
      </w:r>
      <w:r>
        <w:rPr>
          <w:rFonts w:ascii="Times New Roman" w:hAnsi="Times New Roman" w:eastAsia="宋体"/>
        </w:rPr>
        <w:t>RQ1：在机器故障知识问答场景中，混合召回、启发式重排和置信度分层机制能否提升 RAG 模块的检索效果与回答质量？</w:t>
      </w:r>
    </w:p>
    <w:p w14:paraId="7BCD7E3A">
      <w:pPr>
        <w:pStyle w:val="16"/>
        <w:numPr>
          <w:numId w:val="0"/>
        </w:numPr>
        <w:ind w:leftChars="0"/>
      </w:pPr>
      <w:r>
        <w:rPr>
          <w:rFonts w:hint="eastAsia"/>
          <w:lang w:val="en-US" w:eastAsia="zh-CN"/>
        </w:rPr>
        <w:tab/>
      </w:r>
      <w:r>
        <w:rPr>
          <w:rFonts w:ascii="Times New Roman" w:hAnsi="Times New Roman" w:eastAsia="宋体"/>
        </w:rPr>
        <w:t>RQ2：在故障诊断场景中，Plan-Execute-Replan 模式是否优于直接生成式问答和单循环工具调用模式？</w:t>
      </w:r>
    </w:p>
    <w:p w14:paraId="0999C335">
      <w:pPr>
        <w:pStyle w:val="16"/>
        <w:numPr>
          <w:numId w:val="0"/>
        </w:numPr>
        <w:ind w:leftChars="0"/>
      </w:pPr>
      <w:r>
        <w:rPr>
          <w:rFonts w:hint="eastAsia"/>
          <w:lang w:val="en-US" w:eastAsia="zh-CN"/>
        </w:rPr>
        <w:tab/>
      </w:r>
      <w:r>
        <w:rPr>
          <w:rFonts w:ascii="Times New Roman" w:hAnsi="Times New Roman" w:eastAsia="宋体"/>
        </w:rPr>
        <w:t>RQ3：将知识库检索结果作为经验上下文引入 Agent 规划阶段后，是否能够提升根因定位能力与诊断建议质量？</w:t>
      </w:r>
    </w:p>
    <w:p w14:paraId="602DC337">
      <w:pPr>
        <w:pStyle w:val="4"/>
      </w:pPr>
      <w:r>
        <w:rPr>
          <w:rFonts w:ascii="Times New Roman" w:hAnsi="Times New Roman" w:eastAsia="宋体"/>
        </w:rPr>
        <w:t>1.3 研究内容与贡献</w:t>
      </w:r>
    </w:p>
    <w:p w14:paraId="0F3E6454">
      <w:r>
        <w:rPr>
          <w:rFonts w:ascii="Times New Roman" w:hAnsi="Times New Roman" w:eastAsia="宋体"/>
        </w:rPr>
        <w:t>本文的主要研究内容包括以下四个方面：</w:t>
      </w:r>
    </w:p>
    <w:p w14:paraId="2A5421AD">
      <w:pPr>
        <w:pStyle w:val="14"/>
      </w:pPr>
      <w:r>
        <w:rPr>
          <w:rFonts w:ascii="Times New Roman" w:hAnsi="Times New Roman" w:eastAsia="宋体"/>
        </w:rPr>
        <w:t>设计面向运维文档的结构感知知识接入与混合检索流程，支持文档解析、chunk 切分、向量召回、BM25 召回、融合排序和本地启发式重排。</w:t>
      </w:r>
    </w:p>
    <w:p w14:paraId="0E19F7F0">
      <w:pPr>
        <w:pStyle w:val="14"/>
      </w:pPr>
      <w:r>
        <w:rPr>
          <w:rFonts w:ascii="Times New Roman" w:hAnsi="Times New Roman" w:eastAsia="宋体"/>
        </w:rPr>
        <w:t>设计基于置信度分层的回答控制策略，并将低置信问题沉淀为可查询、可聚合、可回放、可修订的知识补充样本。</w:t>
      </w:r>
    </w:p>
    <w:p w14:paraId="0E04FEAA">
      <w:pPr>
        <w:pStyle w:val="14"/>
      </w:pPr>
      <w:r>
        <w:rPr>
          <w:rFonts w:ascii="Times New Roman" w:hAnsi="Times New Roman" w:eastAsia="宋体"/>
        </w:rPr>
        <w:t>构建基于 Plan-Execute-Replan 的 AIOps Agent 原型，使系统能够围绕故障任务进行规划、工具调用、重新规划和报告生成。</w:t>
      </w:r>
    </w:p>
    <w:p w14:paraId="22DCB45C">
      <w:pPr>
        <w:pStyle w:val="14"/>
      </w:pPr>
      <w:r>
        <w:rPr>
          <w:rFonts w:ascii="Times New Roman" w:hAnsi="Times New Roman" w:eastAsia="宋体"/>
        </w:rPr>
        <w:t>提出分层实验设计，将当前可立即运行的 RAG 检索实验与需补充工程后开展的 Agent 对比实验区分开来，保证论文结论与实现边界一致。</w:t>
      </w:r>
    </w:p>
    <w:p w14:paraId="1D990D57">
      <w:pPr>
        <w:pStyle w:val="4"/>
      </w:pPr>
      <w:r>
        <w:rPr>
          <w:rFonts w:ascii="Times New Roman" w:hAnsi="Times New Roman" w:eastAsia="宋体"/>
        </w:rPr>
        <w:t>1.4 论文结构</w:t>
      </w:r>
    </w:p>
    <w:p w14:paraId="5D10204E">
      <w:r>
        <w:rPr>
          <w:rFonts w:ascii="Times New Roman" w:hAnsi="Times New Roman" w:eastAsia="宋体"/>
        </w:rPr>
        <w:t>全文后续结构安排如下：第 2 章介绍系统相关技术与实现边界；第 3 章给出总体架构与主要 API；第 4 章阐述 RAG 模块设计；第 5 章阐述 Plan-Execute-Replan Agent 设计；第 6 章给出数据与存储设计；第 7 章给出实验设计、指标和效度威胁；第 8 章总结全文并展望后续工作。</w:t>
      </w:r>
    </w:p>
    <w:p w14:paraId="78A1D5E7">
      <w:pPr>
        <w:pStyle w:val="3"/>
      </w:pPr>
      <w:r>
        <w:rPr>
          <w:rFonts w:ascii="Times New Roman" w:hAnsi="Times New Roman" w:eastAsia="宋体"/>
        </w:rPr>
        <w:t>第 2 章 相关技术与系统边界</w:t>
      </w:r>
    </w:p>
    <w:p w14:paraId="6DEABBC5">
      <w:pPr>
        <w:pStyle w:val="4"/>
      </w:pPr>
      <w:r>
        <w:rPr>
          <w:rFonts w:ascii="Times New Roman" w:hAnsi="Times New Roman" w:eastAsia="宋体"/>
        </w:rPr>
        <w:t>2.1 检索增强生成技术</w:t>
      </w:r>
    </w:p>
    <w:p w14:paraId="2629DCC2">
      <w:r>
        <w:rPr>
          <w:rFonts w:ascii="Times New Roman" w:hAnsi="Times New Roman" w:eastAsia="宋体"/>
        </w:rPr>
        <w:t>RAG 的核心思想是在语言模型生成答案前，先从外部知识库检索与问题相关的证据片段，再将证据与用户问题共同输入模型。对于维修手册和运维文档，RAG 的关键不只是“能否检索”，还包括文档切分是否保留故障知识结构、召回策略是否覆盖语义与关键词两类匹配方式、排序结果是否将高价值证据放在上下文前部，以及系统能否识别证据不足的情况。</w:t>
      </w:r>
    </w:p>
    <w:p w14:paraId="5FEAED96">
      <w:r>
        <w:rPr>
          <w:rFonts w:ascii="Times New Roman" w:hAnsi="Times New Roman" w:eastAsia="宋体"/>
        </w:rPr>
        <w:t>本系统的 RAG 模块并非仅使用单一向量检索，而是采用向量召回与 BM25 召回融合的混合检索链路，并在检索后执行本地或在线重排。该设计适合运维场景中“同义描述多、专有术语多、故障代码和部件名称重要”的文本特征。</w:t>
      </w:r>
    </w:p>
    <w:p w14:paraId="276161DE">
      <w:pPr>
        <w:pStyle w:val="4"/>
      </w:pPr>
      <w:r>
        <w:rPr>
          <w:rFonts w:ascii="Times New Roman" w:hAnsi="Times New Roman" w:eastAsia="宋体"/>
        </w:rPr>
        <w:t>2.2 Agent 编排与 Plan-Execute-Replan</w:t>
      </w:r>
    </w:p>
    <w:p w14:paraId="31968CBB">
      <w:r>
        <w:rPr>
          <w:rFonts w:ascii="Times New Roman" w:hAnsi="Times New Roman" w:eastAsia="宋体"/>
        </w:rPr>
        <w:t>Plan-Execute-Replan 模式将复杂任务拆分为计划生成、单步执行和动态重规划三个阶段。Planner 负责基于任务目标和可用工具制定步骤；Executor 负责执行当前步骤并调用工具；Replanner 负责根据执行结果判断是否继续、重规划或输出最终答案。相较于一次性生成答案，该模式能够更自然地表达故障诊断中的分步排查过程。</w:t>
      </w:r>
    </w:p>
    <w:p w14:paraId="0352E3EC">
      <w:r>
        <w:rPr>
          <w:rFonts w:ascii="Times New Roman" w:hAnsi="Times New Roman" w:eastAsia="宋体"/>
        </w:rPr>
        <w:t>在本文系统中，Agent 编排基于 LangGraph 实现。Planner 会先检索知识库经验，再结合本地工具与 MCP 工具描述生成计划；Executor 通过 ToolNode 执行工具调用；Replanner 在每轮后选择 continue、replan 或 respond，并通过步数上限和收敛规则降低无限循环风险。</w:t>
      </w:r>
    </w:p>
    <w:p w14:paraId="3728D0F4">
      <w:pPr>
        <w:pStyle w:val="4"/>
      </w:pPr>
      <w:r>
        <w:rPr>
          <w:rFonts w:ascii="Times New Roman" w:hAnsi="Times New Roman" w:eastAsia="宋体"/>
        </w:rPr>
        <w:t>2.3 当前系统边界</w:t>
      </w:r>
    </w:p>
    <w:p w14:paraId="101AA9EF">
      <w:pPr>
        <w:spacing w:after="0" w:line="360" w:lineRule="auto"/>
        <w:ind w:firstLine="420" w:firstLineChars="0"/>
        <w:rPr>
          <w:rFonts w:ascii="Times New Roman" w:hAnsi="Times New Roman" w:eastAsia="宋体" w:cstheme="minorBidi"/>
          <w:sz w:val="21"/>
          <w:szCs w:val="22"/>
          <w:lang w:val="en-US" w:eastAsia="en-US" w:bidi="ar-SA"/>
        </w:rPr>
      </w:pPr>
      <w:r>
        <w:rPr>
          <w:rFonts w:ascii="Times New Roman" w:hAnsi="Times New Roman" w:eastAsia="宋体" w:cstheme="minorBidi"/>
          <w:sz w:val="21"/>
          <w:szCs w:val="22"/>
          <w:lang w:val="en-US" w:eastAsia="en-US" w:bidi="ar-SA"/>
        </w:rPr>
        <w:t>本研究构建的系统当前兼具工程化解耦架构与科研原型特性，能够为后续的验证评估工作提供扎实的基础。在系统边界的设计与界定上，本研究根据不同核心模块的实现程度与研究侧重点，对其适用范围与实验方向进行了明确划分。</w:t>
      </w:r>
    </w:p>
    <w:p w14:paraId="18C47586">
      <w:pPr>
        <w:spacing w:after="0" w:line="360" w:lineRule="auto"/>
        <w:ind w:leftChars="0" w:firstLine="420" w:firstLineChars="0"/>
        <w:rPr>
          <w:rFonts w:ascii="Times New Roman" w:hAnsi="Times New Roman" w:eastAsia="宋体" w:cstheme="minorBidi"/>
          <w:sz w:val="21"/>
          <w:szCs w:val="22"/>
          <w:lang w:val="en-US" w:eastAsia="en-US" w:bidi="ar-SA"/>
        </w:rPr>
      </w:pPr>
      <w:r>
        <w:rPr>
          <w:rFonts w:ascii="Times New Roman" w:hAnsi="Times New Roman" w:eastAsia="宋体" w:cstheme="minorBidi"/>
          <w:sz w:val="21"/>
          <w:szCs w:val="22"/>
          <w:lang w:val="en-US" w:eastAsia="en-US" w:bidi="ar-SA"/>
        </w:rPr>
        <w:t>针对检索增强生成（RAG）模块，系统目前已实现较高的工程成熟度，构建了包含文档接入、混合检索、重排序、置信度评估，以及低置信度事件落库与 Chunk（文本块）修订的完整闭环链路。该模块具备充足的定量实验条件，适合作为本论文核心算法与闭环机制验证的主要承载对象。在论文的探讨边界内，该模块的实验评估将聚焦于特定领域结构化与半结构化技术文档的检索准确率，以及异常触发的知识反馈环的有效性，而暂不涉及大规模复杂格式扫描版 PDF 的全量解析或面向长期的多用户高并发部署验证。</w:t>
      </w:r>
    </w:p>
    <w:p w14:paraId="14E5177A">
      <w:pPr>
        <w:spacing w:after="0" w:line="360" w:lineRule="auto"/>
        <w:ind w:leftChars="0" w:firstLine="420" w:firstLineChars="0"/>
        <w:rPr>
          <w:rFonts w:ascii="Times New Roman" w:hAnsi="Times New Roman" w:eastAsia="宋体" w:cstheme="minorBidi"/>
          <w:sz w:val="21"/>
          <w:szCs w:val="22"/>
          <w:lang w:val="en-US" w:eastAsia="en-US" w:bidi="ar-SA"/>
        </w:rPr>
      </w:pPr>
      <w:r>
        <w:rPr>
          <w:rFonts w:ascii="Times New Roman" w:hAnsi="Times New Roman" w:eastAsia="宋体" w:cstheme="minorBidi"/>
          <w:sz w:val="21"/>
          <w:szCs w:val="22"/>
          <w:lang w:val="en-US" w:eastAsia="en-US" w:bidi="ar-SA"/>
        </w:rPr>
        <w:t>对于 AIOps Agent 模块，系统当前实现了一个基于模拟监控与日志环境的可扩展工具接入原型。该模块具备完整的“规划-执行-再规划”（Plan-Execute-Replan）任务编排逻辑、工具调用机制以及流式诊断报告生成能力，能够有效验证大语言模型在智能运维场景下的逻辑推理与任务拆解能力。考虑到真实生产环境数据的敏感性与获取壁垒，系统外部的监控与日志数据目前主要通过接入本地 Mock MCP（Model Context Protocol）服务进行模拟获取。因此，该模块在本研究中主要定位于验证运维决策辅助框架的可扩展性与流程的合理性。这种受控的模拟环境设计，既避免了对真实生产环境监控平台直连能力的过度声明，也有助于排除生产环境中的不可控噪声干扰，从而保障实验验证的严谨性。</w:t>
      </w:r>
    </w:p>
    <w:p w14:paraId="613ADCCC">
      <w:pPr>
        <w:spacing w:after="0" w:line="360" w:lineRule="auto"/>
        <w:ind w:leftChars="0" w:firstLine="420" w:firstLineChars="0"/>
        <w:rPr>
          <w:rFonts w:ascii="Times New Roman" w:hAnsi="Times New Roman" w:eastAsia="宋体" w:cstheme="minorBidi"/>
          <w:sz w:val="21"/>
          <w:szCs w:val="22"/>
          <w:lang w:val="en-US" w:eastAsia="en-US" w:bidi="ar-SA"/>
        </w:rPr>
      </w:pPr>
      <w:r>
        <w:rPr>
          <w:rFonts w:ascii="Times New Roman" w:hAnsi="Times New Roman" w:eastAsia="宋体" w:cstheme="minorBidi"/>
          <w:sz w:val="21"/>
          <w:szCs w:val="22"/>
          <w:lang w:val="en-US" w:eastAsia="en-US" w:bidi="ar-SA"/>
        </w:rPr>
        <w:t>基于上述系统边界界定，本研究已积累了配套的实验资产以支撑后续的论证工作。在 RAG 模块的定量实验方面，系统已初步具备结构化的标注数据集、上下文目录以及实验源文档清单，可直接用于不同检索策略召回率及系统鲁棒性的基准测试。在 AIOps Agent 模块的评估方面，本研究将通过构建固定的典型故障案例集以及标准化的评分流程，对 Agent 的工具选择准确率与计划生成的逻辑严密性开展对比实验，从而确保系统整体验证过程的客观性与科学性。</w:t>
      </w:r>
    </w:p>
    <w:p w14:paraId="14980CBE"/>
    <w:p w14:paraId="69BA5437">
      <w:pPr>
        <w:pStyle w:val="3"/>
      </w:pPr>
      <w:r>
        <w:rPr>
          <w:rFonts w:ascii="Times New Roman" w:hAnsi="Times New Roman" w:eastAsia="宋体"/>
        </w:rPr>
        <w:t>第 3 章 系统总体架构</w:t>
      </w:r>
    </w:p>
    <w:p w14:paraId="4C94B084">
      <w:pPr>
        <w:pStyle w:val="4"/>
      </w:pPr>
      <w:r>
        <w:rPr>
          <w:rFonts w:ascii="Times New Roman" w:hAnsi="Times New Roman" w:eastAsia="宋体"/>
        </w:rPr>
        <w:t>3.1 系统定位</w:t>
      </w:r>
    </w:p>
    <w:p w14:paraId="6866949B">
      <w:r>
        <w:rPr>
          <w:rFonts w:ascii="Times New Roman" w:hAnsi="Times New Roman" w:eastAsia="宋体"/>
        </w:rPr>
        <w:t>SuperBizAgent 是一个以 FastAPI 为服务外壳、以 LangChain/LangGraph 为 Agent 编排核心、以 Milvus 和 PostgreSQL 为知识与审计底座的智能运维原型系统。系统同时覆盖两条主线：其一是面向知识问答的 RAG 助手，其二是面向故障诊断的 AIOps Agent。与只做问答演示的系统不同，本系统已经实现文档接入、检索重排、置信度评估、低置信问题沉淀、人工修订 chunk 和回写线上索引等知识闭环能力。</w:t>
      </w:r>
    </w:p>
    <w:p w14:paraId="0152CABE">
      <w:pPr>
        <w:pStyle w:val="4"/>
      </w:pPr>
      <w:r>
        <w:rPr>
          <w:rFonts w:ascii="Times New Roman" w:hAnsi="Times New Roman" w:eastAsia="宋体"/>
        </w:rPr>
        <w:t>3.2 服务入口与 API</w:t>
      </w:r>
    </w:p>
    <w:p w14:paraId="1EB0E371">
      <w:r>
        <w:rPr>
          <w:rFonts w:ascii="Times New Roman" w:hAnsi="Times New Roman" w:eastAsia="宋体"/>
        </w:rPr>
        <w:t>系统主入口为 app/main.py。应用启动时读取配置，连接 Milvus，注册健康检查、聊天、文件上传、AIOps、低置信管理和 chunk 管理接口，并挂载 static/ 目录提供 Web UI。主要 API 如表 3-1 所示。</w:t>
      </w:r>
    </w:p>
    <w:tbl>
      <w:tblPr>
        <w:tblStyle w:val="34"/>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2551"/>
        <w:gridCol w:w="5953"/>
      </w:tblGrid>
      <w:tr w14:paraId="0B9A368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PrEx>
        <w:trPr>
          <w:jc w:val="center"/>
        </w:trPr>
        <w:tc>
          <w:tcPr>
            <w:tcW w:w="2551" w:type="dxa"/>
            <w:shd w:val="clear" w:color="auto" w:fill="D9EAF7"/>
            <w:vAlign w:val="center"/>
          </w:tcPr>
          <w:p w14:paraId="5F6571FB">
            <w:pPr>
              <w:jc w:val="center"/>
            </w:pPr>
            <w:r>
              <w:rPr>
                <w:rFonts w:ascii="Times New Roman" w:hAnsi="Times New Roman" w:eastAsia="宋体"/>
                <w:b/>
                <w:sz w:val="21"/>
              </w:rPr>
              <w:t>API</w:t>
            </w:r>
          </w:p>
        </w:tc>
        <w:tc>
          <w:tcPr>
            <w:tcW w:w="5953" w:type="dxa"/>
            <w:shd w:val="clear" w:color="auto" w:fill="D9EAF7"/>
            <w:vAlign w:val="center"/>
          </w:tcPr>
          <w:p w14:paraId="41D65961">
            <w:pPr>
              <w:jc w:val="center"/>
            </w:pPr>
            <w:r>
              <w:rPr>
                <w:rFonts w:ascii="Times New Roman" w:hAnsi="Times New Roman" w:eastAsia="宋体"/>
                <w:b/>
                <w:sz w:val="21"/>
              </w:rPr>
              <w:t>功能说明</w:t>
            </w:r>
          </w:p>
        </w:tc>
      </w:tr>
      <w:tr w14:paraId="6ED0FAB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51" w:type="dxa"/>
            <w:vAlign w:val="center"/>
          </w:tcPr>
          <w:p w14:paraId="4C4C3B1D">
            <w:pPr>
              <w:jc w:val="left"/>
            </w:pPr>
            <w:r>
              <w:rPr>
                <w:rFonts w:ascii="Times New Roman" w:hAnsi="Times New Roman" w:eastAsia="宋体"/>
                <w:b w:val="0"/>
                <w:sz w:val="21"/>
              </w:rPr>
              <w:t>/health</w:t>
            </w:r>
          </w:p>
        </w:tc>
        <w:tc>
          <w:tcPr>
            <w:tcW w:w="5953" w:type="dxa"/>
            <w:vAlign w:val="center"/>
          </w:tcPr>
          <w:p w14:paraId="531DC2CC">
            <w:pPr>
              <w:jc w:val="left"/>
            </w:pPr>
            <w:r>
              <w:rPr>
                <w:rFonts w:ascii="Times New Roman" w:hAnsi="Times New Roman" w:eastAsia="宋体"/>
                <w:b w:val="0"/>
                <w:sz w:val="21"/>
              </w:rPr>
              <w:t>检查服务、Milvus 与 PostgreSQL 状态</w:t>
            </w:r>
          </w:p>
        </w:tc>
      </w:tr>
      <w:tr w14:paraId="252219E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51" w:type="dxa"/>
            <w:vAlign w:val="center"/>
          </w:tcPr>
          <w:p w14:paraId="14F0EA73">
            <w:pPr>
              <w:jc w:val="left"/>
            </w:pPr>
            <w:r>
              <w:rPr>
                <w:rFonts w:ascii="Times New Roman" w:hAnsi="Times New Roman" w:eastAsia="宋体"/>
                <w:b w:val="0"/>
                <w:sz w:val="21"/>
              </w:rPr>
              <w:t>/api/chat</w:t>
            </w:r>
          </w:p>
        </w:tc>
        <w:tc>
          <w:tcPr>
            <w:tcW w:w="5953" w:type="dxa"/>
            <w:vAlign w:val="center"/>
          </w:tcPr>
          <w:p w14:paraId="28103F4B">
            <w:pPr>
              <w:jc w:val="left"/>
            </w:pPr>
            <w:r>
              <w:rPr>
                <w:rFonts w:ascii="Times New Roman" w:hAnsi="Times New Roman" w:eastAsia="宋体"/>
                <w:b w:val="0"/>
                <w:sz w:val="21"/>
              </w:rPr>
              <w:t>非流式 RAG 问答</w:t>
            </w:r>
          </w:p>
        </w:tc>
      </w:tr>
      <w:tr w14:paraId="7DB31B7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51" w:type="dxa"/>
            <w:vAlign w:val="center"/>
          </w:tcPr>
          <w:p w14:paraId="35BB112B">
            <w:pPr>
              <w:jc w:val="left"/>
            </w:pPr>
            <w:r>
              <w:rPr>
                <w:rFonts w:ascii="Times New Roman" w:hAnsi="Times New Roman" w:eastAsia="宋体"/>
                <w:b w:val="0"/>
                <w:sz w:val="21"/>
              </w:rPr>
              <w:t>/api/chat_stream</w:t>
            </w:r>
          </w:p>
        </w:tc>
        <w:tc>
          <w:tcPr>
            <w:tcW w:w="5953" w:type="dxa"/>
            <w:vAlign w:val="center"/>
          </w:tcPr>
          <w:p w14:paraId="72FEE9C3">
            <w:pPr>
              <w:jc w:val="left"/>
            </w:pPr>
            <w:r>
              <w:rPr>
                <w:rFonts w:ascii="Times New Roman" w:hAnsi="Times New Roman" w:eastAsia="宋体"/>
                <w:b w:val="0"/>
                <w:sz w:val="21"/>
              </w:rPr>
              <w:t>SSE 流式 RAG 问答</w:t>
            </w:r>
          </w:p>
        </w:tc>
      </w:tr>
      <w:tr w14:paraId="7255375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51" w:type="dxa"/>
            <w:vAlign w:val="center"/>
          </w:tcPr>
          <w:p w14:paraId="0E99B22F">
            <w:pPr>
              <w:jc w:val="left"/>
            </w:pPr>
            <w:r>
              <w:rPr>
                <w:rFonts w:ascii="Times New Roman" w:hAnsi="Times New Roman" w:eastAsia="宋体"/>
                <w:b w:val="0"/>
                <w:sz w:val="21"/>
              </w:rPr>
              <w:t>/api/chat/clear</w:t>
            </w:r>
          </w:p>
        </w:tc>
        <w:tc>
          <w:tcPr>
            <w:tcW w:w="5953" w:type="dxa"/>
            <w:vAlign w:val="center"/>
          </w:tcPr>
          <w:p w14:paraId="113120DF">
            <w:pPr>
              <w:jc w:val="left"/>
            </w:pPr>
            <w:r>
              <w:rPr>
                <w:rFonts w:ascii="Times New Roman" w:hAnsi="Times New Roman" w:eastAsia="宋体"/>
                <w:b w:val="0"/>
                <w:sz w:val="21"/>
              </w:rPr>
              <w:t>清空会话上下文</w:t>
            </w:r>
          </w:p>
        </w:tc>
      </w:tr>
      <w:tr w14:paraId="64E2B3C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51" w:type="dxa"/>
            <w:vAlign w:val="center"/>
          </w:tcPr>
          <w:p w14:paraId="69D3A760">
            <w:pPr>
              <w:jc w:val="left"/>
            </w:pPr>
            <w:r>
              <w:rPr>
                <w:rFonts w:ascii="Times New Roman" w:hAnsi="Times New Roman" w:eastAsia="宋体"/>
                <w:b w:val="0"/>
                <w:sz w:val="21"/>
              </w:rPr>
              <w:t>/api/upload</w:t>
            </w:r>
          </w:p>
        </w:tc>
        <w:tc>
          <w:tcPr>
            <w:tcW w:w="5953" w:type="dxa"/>
            <w:vAlign w:val="center"/>
          </w:tcPr>
          <w:p w14:paraId="3F870EC1">
            <w:pPr>
              <w:jc w:val="left"/>
            </w:pPr>
            <w:r>
              <w:rPr>
                <w:rFonts w:ascii="Times New Roman" w:hAnsi="Times New Roman" w:eastAsia="宋体"/>
                <w:b w:val="0"/>
                <w:sz w:val="21"/>
              </w:rPr>
              <w:t>上传文件并触发索引</w:t>
            </w:r>
          </w:p>
        </w:tc>
      </w:tr>
      <w:tr w14:paraId="707FC8F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51" w:type="dxa"/>
            <w:vAlign w:val="center"/>
          </w:tcPr>
          <w:p w14:paraId="70474C98">
            <w:pPr>
              <w:jc w:val="left"/>
            </w:pPr>
            <w:r>
              <w:rPr>
                <w:rFonts w:ascii="Times New Roman" w:hAnsi="Times New Roman" w:eastAsia="宋体"/>
                <w:b w:val="0"/>
                <w:sz w:val="21"/>
              </w:rPr>
              <w:t>/api/index_directory</w:t>
            </w:r>
          </w:p>
        </w:tc>
        <w:tc>
          <w:tcPr>
            <w:tcW w:w="5953" w:type="dxa"/>
            <w:vAlign w:val="center"/>
          </w:tcPr>
          <w:p w14:paraId="09981CFC">
            <w:pPr>
              <w:jc w:val="left"/>
            </w:pPr>
            <w:r>
              <w:rPr>
                <w:rFonts w:ascii="Times New Roman" w:hAnsi="Times New Roman" w:eastAsia="宋体"/>
                <w:b w:val="0"/>
                <w:sz w:val="21"/>
              </w:rPr>
              <w:t>重建指定目录索引</w:t>
            </w:r>
          </w:p>
        </w:tc>
      </w:tr>
      <w:tr w14:paraId="3BEAEBE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51" w:type="dxa"/>
            <w:vAlign w:val="center"/>
          </w:tcPr>
          <w:p w14:paraId="409761FA">
            <w:pPr>
              <w:jc w:val="left"/>
            </w:pPr>
            <w:r>
              <w:rPr>
                <w:rFonts w:ascii="Times New Roman" w:hAnsi="Times New Roman" w:eastAsia="宋体"/>
                <w:b w:val="0"/>
                <w:sz w:val="21"/>
              </w:rPr>
              <w:t>/api/aiops</w:t>
            </w:r>
          </w:p>
        </w:tc>
        <w:tc>
          <w:tcPr>
            <w:tcW w:w="5953" w:type="dxa"/>
            <w:vAlign w:val="center"/>
          </w:tcPr>
          <w:p w14:paraId="39BAD547">
            <w:pPr>
              <w:jc w:val="left"/>
            </w:pPr>
            <w:r>
              <w:rPr>
                <w:rFonts w:ascii="Times New Roman" w:hAnsi="Times New Roman" w:eastAsia="宋体"/>
                <w:b w:val="0"/>
                <w:sz w:val="21"/>
              </w:rPr>
              <w:t>SSE 流式 AIOps 诊断</w:t>
            </w:r>
          </w:p>
        </w:tc>
      </w:tr>
      <w:tr w14:paraId="7B7B8B1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51" w:type="dxa"/>
            <w:vAlign w:val="center"/>
          </w:tcPr>
          <w:p w14:paraId="3D3A75AF">
            <w:pPr>
              <w:jc w:val="left"/>
            </w:pPr>
            <w:r>
              <w:rPr>
                <w:rFonts w:ascii="Times New Roman" w:hAnsi="Times New Roman" w:eastAsia="宋体"/>
                <w:b w:val="0"/>
                <w:sz w:val="21"/>
              </w:rPr>
              <w:t>/api/admin/low-confidence/*</w:t>
            </w:r>
          </w:p>
        </w:tc>
        <w:tc>
          <w:tcPr>
            <w:tcW w:w="5953" w:type="dxa"/>
            <w:vAlign w:val="center"/>
          </w:tcPr>
          <w:p w14:paraId="08DD4ECF">
            <w:pPr>
              <w:jc w:val="left"/>
            </w:pPr>
            <w:r>
              <w:rPr>
                <w:rFonts w:ascii="Times New Roman" w:hAnsi="Times New Roman" w:eastAsia="宋体"/>
                <w:b w:val="0"/>
                <w:sz w:val="21"/>
              </w:rPr>
              <w:t>低置信事件查询与管理</w:t>
            </w:r>
          </w:p>
        </w:tc>
      </w:tr>
      <w:tr w14:paraId="6545231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2551" w:type="dxa"/>
            <w:vAlign w:val="center"/>
          </w:tcPr>
          <w:p w14:paraId="70580526">
            <w:pPr>
              <w:jc w:val="left"/>
            </w:pPr>
            <w:r>
              <w:rPr>
                <w:rFonts w:ascii="Times New Roman" w:hAnsi="Times New Roman" w:eastAsia="宋体"/>
                <w:b w:val="0"/>
                <w:sz w:val="21"/>
              </w:rPr>
              <w:t>/api/admin/chunks/*</w:t>
            </w:r>
          </w:p>
        </w:tc>
        <w:tc>
          <w:tcPr>
            <w:tcW w:w="5953" w:type="dxa"/>
            <w:vAlign w:val="center"/>
          </w:tcPr>
          <w:p w14:paraId="733896EC">
            <w:pPr>
              <w:jc w:val="left"/>
            </w:pPr>
            <w:r>
              <w:rPr>
                <w:rFonts w:ascii="Times New Roman" w:hAnsi="Times New Roman" w:eastAsia="宋体"/>
                <w:b w:val="0"/>
                <w:sz w:val="21"/>
              </w:rPr>
              <w:t>chunk 草稿、发布与历史管理</w:t>
            </w:r>
          </w:p>
        </w:tc>
      </w:tr>
    </w:tbl>
    <w:p w14:paraId="4C1E8C38"/>
    <w:p w14:paraId="57167395">
      <w:pPr>
        <w:pStyle w:val="4"/>
      </w:pPr>
      <w:r>
        <w:rPr>
          <w:rFonts w:ascii="Times New Roman" w:hAnsi="Times New Roman" w:eastAsia="宋体"/>
        </w:rPr>
        <w:t>3.3 核心组件关系</w:t>
      </w:r>
    </w:p>
    <w:p w14:paraId="4D1E95C8">
      <w:r>
        <w:rPr>
          <w:rFonts w:ascii="Times New Roman" w:hAnsi="Times New Roman" w:eastAsia="宋体"/>
        </w:rPr>
        <w:t>系统可以概括为两条可交互但相对独立的链路。知识问答链路从用户问题出发，经会话记忆、混合检索、重排和置信度评估后生成答案；当证据不足时，低置信事件被写入 PostgreSQL，后续可由人工修订 chunk 并回写 Milvus 与 JSONL 语料。故障诊断链路则由 AIOps API 触发 LangGraph 工作流，通过 planner、executor 和 replanner 协调知识检索、本地工具、MCP 工具和最终诊断报告。</w:t>
      </w:r>
    </w:p>
    <w:p w14:paraId="1F9C60E9">
      <w:pPr>
        <w:pStyle w:val="149"/>
      </w:pPr>
      <w:r>
        <w:rPr>
          <w:rFonts w:ascii="Times New Roman" w:hAnsi="Times New Roman" w:eastAsia="宋体"/>
        </w:rPr>
        <w:t>用户/前端 -&gt; FastAPI -&gt; RAG 问答链 -&gt; 混合检索 -&gt; Milvus + JSONL/BM25 -&gt; 重排与置信度 -&gt; ChatQwen 生成 -&gt; 低置信闭环</w:t>
      </w:r>
    </w:p>
    <w:p w14:paraId="345682C0">
      <w:pPr>
        <w:pStyle w:val="149"/>
      </w:pPr>
      <w:r>
        <w:rPr>
          <w:rFonts w:ascii="Times New Roman" w:hAnsi="Times New Roman" w:eastAsia="宋体"/>
        </w:rPr>
        <w:t>用户/前端 -&gt; FastAPI -&gt; AIOps LangGraph -&gt; planner -&gt; executor -&gt; replanner -&gt; 本地工具 + MCP 工具 -&gt; Markdown 诊断报告</w:t>
      </w:r>
    </w:p>
    <w:p w14:paraId="263852E6">
      <w:pPr>
        <w:pStyle w:val="3"/>
      </w:pPr>
      <w:r>
        <w:rPr>
          <w:rFonts w:ascii="Times New Roman" w:hAnsi="Times New Roman" w:eastAsia="宋体"/>
        </w:rPr>
        <w:t>第 4 章 面向运维文档的 RAG 模块设计</w:t>
      </w:r>
    </w:p>
    <w:p w14:paraId="5937F11E">
      <w:pPr>
        <w:pStyle w:val="4"/>
      </w:pPr>
      <w:r>
        <w:rPr>
          <w:rFonts w:ascii="Times New Roman" w:hAnsi="Times New Roman" w:eastAsia="宋体"/>
        </w:rPr>
        <w:t>4.1 文档接入与索引</w:t>
      </w:r>
    </w:p>
    <w:p w14:paraId="7B407442">
      <w:r>
        <w:rPr>
          <w:rFonts w:ascii="Times New Roman" w:hAnsi="Times New Roman" w:eastAsia="宋体"/>
        </w:rPr>
        <w:t>文档接入流程由 app/api/file.py 与 app/services/vector_index_service.py 负责。系统将上传文件保存到 uploads/，根据扩展名解析内容，调用 DocumentSplitterService 进行 chunk 切分，为每个 chunk 生成稳定 chunk_id，并将文档与 chunk 元数据写入 PostgreSQL。随后系统删除 Milvus 中该来源旧数据，写入新的向量数据，并同步维护本地 JSONL 语料，供 BM25 检索使用。</w:t>
      </w:r>
    </w:p>
    <w:p w14:paraId="52B932D8">
      <w:r>
        <w:rPr>
          <w:rFonts w:ascii="Times New Roman" w:hAnsi="Times New Roman" w:eastAsia="宋体"/>
        </w:rPr>
        <w:t>这一设计的关键在于 Milvus 与本地 JSONL 语料并行维护。Milvus 负责语义向量召回，JSONL 语料支持关键词检索和人工排查，两者共同构成 hybrid retrieval 的基础。</w:t>
      </w:r>
    </w:p>
    <w:p w14:paraId="0B14AB97">
      <w:pPr>
        <w:pStyle w:val="4"/>
      </w:pPr>
      <w:r>
        <w:rPr>
          <w:rFonts w:ascii="Times New Roman" w:hAnsi="Times New Roman" w:eastAsia="宋体"/>
        </w:rPr>
        <w:t>4.2 结构感知文档切分</w:t>
      </w:r>
    </w:p>
    <w:p w14:paraId="53AB4BE7">
      <w:r>
        <w:rPr>
          <w:rFonts w:ascii="Times New Roman" w:hAnsi="Times New Roman" w:eastAsia="宋体"/>
        </w:rPr>
        <w:t>DocumentSplitterService 针对不同文档类型采用不同切分策略。Markdown 文档优先按标题切分，再进行递归字符切分；普通文本直接递归字符切分；PDF 文档先按页解析，再尝试识别“故障现象、故障原因、处理步骤、注意事项”等结构性标题。该策略不是简单按固定长度切分，而是尽量保留运维知识中的“症状、原因、步骤”结构，有助于提升后续检索证据的完整性。</w:t>
      </w:r>
    </w:p>
    <w:p w14:paraId="4B556577">
      <w:pPr>
        <w:pStyle w:val="4"/>
      </w:pPr>
      <w:r>
        <w:rPr>
          <w:rFonts w:ascii="Times New Roman" w:hAnsi="Times New Roman" w:eastAsia="宋体"/>
        </w:rPr>
        <w:t>4.3 混合检索与重排</w:t>
      </w:r>
    </w:p>
    <w:p w14:paraId="640B32A0">
      <w:r>
        <w:rPr>
          <w:rFonts w:ascii="Times New Roman" w:hAnsi="Times New Roman" w:eastAsia="宋体"/>
        </w:rPr>
        <w:t>HybridRetrievalService 是 RAG 主链路的核心。服务首先对用户问题进行查询理解，生成 primary query、keyword query、expanded queries 和 keywords；随后对扩展查询分别执行向量召回与 BM25 召回；候选结果通过 RRF 风格分数融合后进入在线或本地 rerank；最终系统为 top chunk 打文档级置信度标签，并基于 top1、top2、top3 平均分和支撑数量计算 overall confidence。</w:t>
      </w:r>
    </w:p>
    <w:tbl>
      <w:tblPr>
        <w:tblStyle w:val="34"/>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474"/>
        <w:gridCol w:w="1757"/>
        <w:gridCol w:w="2268"/>
        <w:gridCol w:w="3005"/>
      </w:tblGrid>
      <w:tr w14:paraId="6743DF8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shd w:val="clear" w:color="auto" w:fill="D9EAF7"/>
            <w:vAlign w:val="center"/>
          </w:tcPr>
          <w:p w14:paraId="43230D46">
            <w:pPr>
              <w:jc w:val="center"/>
            </w:pPr>
            <w:r>
              <w:rPr>
                <w:rFonts w:ascii="Times New Roman" w:hAnsi="Times New Roman" w:eastAsia="宋体"/>
                <w:b/>
                <w:sz w:val="21"/>
              </w:rPr>
              <w:t>步骤</w:t>
            </w:r>
          </w:p>
        </w:tc>
        <w:tc>
          <w:tcPr>
            <w:tcW w:w="1757" w:type="dxa"/>
            <w:shd w:val="clear" w:color="auto" w:fill="D9EAF7"/>
            <w:vAlign w:val="center"/>
          </w:tcPr>
          <w:p w14:paraId="01872A19">
            <w:pPr>
              <w:jc w:val="center"/>
            </w:pPr>
            <w:r>
              <w:rPr>
                <w:rFonts w:ascii="Times New Roman" w:hAnsi="Times New Roman" w:eastAsia="宋体"/>
                <w:b/>
                <w:sz w:val="21"/>
              </w:rPr>
              <w:t>输入</w:t>
            </w:r>
          </w:p>
        </w:tc>
        <w:tc>
          <w:tcPr>
            <w:tcW w:w="2268" w:type="dxa"/>
            <w:shd w:val="clear" w:color="auto" w:fill="D9EAF7"/>
            <w:vAlign w:val="center"/>
          </w:tcPr>
          <w:p w14:paraId="2170CD98">
            <w:pPr>
              <w:jc w:val="center"/>
            </w:pPr>
            <w:r>
              <w:rPr>
                <w:rFonts w:ascii="Times New Roman" w:hAnsi="Times New Roman" w:eastAsia="宋体"/>
                <w:b/>
                <w:sz w:val="21"/>
              </w:rPr>
              <w:t>输出</w:t>
            </w:r>
          </w:p>
        </w:tc>
        <w:tc>
          <w:tcPr>
            <w:tcW w:w="3005" w:type="dxa"/>
            <w:shd w:val="clear" w:color="auto" w:fill="D9EAF7"/>
            <w:vAlign w:val="center"/>
          </w:tcPr>
          <w:p w14:paraId="02F22221">
            <w:pPr>
              <w:jc w:val="center"/>
            </w:pPr>
            <w:r>
              <w:rPr>
                <w:rFonts w:ascii="Times New Roman" w:hAnsi="Times New Roman" w:eastAsia="宋体"/>
                <w:b/>
                <w:sz w:val="21"/>
              </w:rPr>
              <w:t>设计目的</w:t>
            </w:r>
          </w:p>
        </w:tc>
      </w:tr>
      <w:tr w14:paraId="342C80B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vAlign w:val="center"/>
          </w:tcPr>
          <w:p w14:paraId="59B2D769">
            <w:pPr>
              <w:jc w:val="left"/>
            </w:pPr>
            <w:r>
              <w:rPr>
                <w:rFonts w:ascii="Times New Roman" w:hAnsi="Times New Roman" w:eastAsia="宋体"/>
                <w:b w:val="0"/>
                <w:sz w:val="21"/>
              </w:rPr>
              <w:t>查询理解</w:t>
            </w:r>
          </w:p>
        </w:tc>
        <w:tc>
          <w:tcPr>
            <w:tcW w:w="1757" w:type="dxa"/>
            <w:vAlign w:val="center"/>
          </w:tcPr>
          <w:p w14:paraId="72F18FD7">
            <w:pPr>
              <w:jc w:val="left"/>
            </w:pPr>
            <w:r>
              <w:rPr>
                <w:rFonts w:ascii="Times New Roman" w:hAnsi="Times New Roman" w:eastAsia="宋体"/>
                <w:b w:val="0"/>
                <w:sz w:val="21"/>
              </w:rPr>
              <w:t>用户问题</w:t>
            </w:r>
          </w:p>
        </w:tc>
        <w:tc>
          <w:tcPr>
            <w:tcW w:w="2268" w:type="dxa"/>
            <w:vAlign w:val="center"/>
          </w:tcPr>
          <w:p w14:paraId="4AC81583">
            <w:pPr>
              <w:jc w:val="left"/>
            </w:pPr>
            <w:r>
              <w:rPr>
                <w:rFonts w:ascii="Times New Roman" w:hAnsi="Times New Roman" w:eastAsia="宋体"/>
                <w:b w:val="0"/>
                <w:sz w:val="21"/>
              </w:rPr>
              <w:t>主查询、关键词查询、扩展查询、关键词</w:t>
            </w:r>
          </w:p>
        </w:tc>
        <w:tc>
          <w:tcPr>
            <w:tcW w:w="3005" w:type="dxa"/>
            <w:vAlign w:val="center"/>
          </w:tcPr>
          <w:p w14:paraId="74D1CBED">
            <w:pPr>
              <w:jc w:val="left"/>
            </w:pPr>
            <w:r>
              <w:rPr>
                <w:rFonts w:ascii="Times New Roman" w:hAnsi="Times New Roman" w:eastAsia="宋体"/>
                <w:b w:val="0"/>
                <w:sz w:val="21"/>
              </w:rPr>
              <w:t>减少表述差异导致的漏召回</w:t>
            </w:r>
          </w:p>
        </w:tc>
      </w:tr>
      <w:tr w14:paraId="091D283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vAlign w:val="center"/>
          </w:tcPr>
          <w:p w14:paraId="7F9085AD">
            <w:pPr>
              <w:jc w:val="left"/>
            </w:pPr>
            <w:r>
              <w:rPr>
                <w:rFonts w:ascii="Times New Roman" w:hAnsi="Times New Roman" w:eastAsia="宋体"/>
                <w:b w:val="0"/>
                <w:sz w:val="21"/>
              </w:rPr>
              <w:t>向量召回</w:t>
            </w:r>
          </w:p>
        </w:tc>
        <w:tc>
          <w:tcPr>
            <w:tcW w:w="1757" w:type="dxa"/>
            <w:vAlign w:val="center"/>
          </w:tcPr>
          <w:p w14:paraId="765DC57A">
            <w:pPr>
              <w:jc w:val="left"/>
            </w:pPr>
            <w:r>
              <w:rPr>
                <w:rFonts w:ascii="Times New Roman" w:hAnsi="Times New Roman" w:eastAsia="宋体"/>
                <w:b w:val="0"/>
                <w:sz w:val="21"/>
              </w:rPr>
              <w:t>扩展查询</w:t>
            </w:r>
          </w:p>
        </w:tc>
        <w:tc>
          <w:tcPr>
            <w:tcW w:w="2268" w:type="dxa"/>
            <w:vAlign w:val="center"/>
          </w:tcPr>
          <w:p w14:paraId="5824248E">
            <w:pPr>
              <w:jc w:val="left"/>
            </w:pPr>
            <w:r>
              <w:rPr>
                <w:rFonts w:ascii="Times New Roman" w:hAnsi="Times New Roman" w:eastAsia="宋体"/>
                <w:b w:val="0"/>
                <w:sz w:val="21"/>
              </w:rPr>
              <w:t>语义相似候选 chunk</w:t>
            </w:r>
          </w:p>
        </w:tc>
        <w:tc>
          <w:tcPr>
            <w:tcW w:w="3005" w:type="dxa"/>
            <w:vAlign w:val="center"/>
          </w:tcPr>
          <w:p w14:paraId="0B6E6B9A">
            <w:pPr>
              <w:jc w:val="left"/>
            </w:pPr>
            <w:r>
              <w:rPr>
                <w:rFonts w:ascii="Times New Roman" w:hAnsi="Times New Roman" w:eastAsia="宋体"/>
                <w:b w:val="0"/>
                <w:sz w:val="21"/>
              </w:rPr>
              <w:t>覆盖同义表达与语义相关内容</w:t>
            </w:r>
          </w:p>
        </w:tc>
      </w:tr>
      <w:tr w14:paraId="2D51633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vAlign w:val="center"/>
          </w:tcPr>
          <w:p w14:paraId="4D7E7A13">
            <w:pPr>
              <w:jc w:val="left"/>
            </w:pPr>
            <w:r>
              <w:rPr>
                <w:rFonts w:ascii="Times New Roman" w:hAnsi="Times New Roman" w:eastAsia="宋体"/>
                <w:b w:val="0"/>
                <w:sz w:val="21"/>
              </w:rPr>
              <w:t>BM25 召回</w:t>
            </w:r>
          </w:p>
        </w:tc>
        <w:tc>
          <w:tcPr>
            <w:tcW w:w="1757" w:type="dxa"/>
            <w:vAlign w:val="center"/>
          </w:tcPr>
          <w:p w14:paraId="6883DFBE">
            <w:pPr>
              <w:jc w:val="left"/>
            </w:pPr>
            <w:r>
              <w:rPr>
                <w:rFonts w:ascii="Times New Roman" w:hAnsi="Times New Roman" w:eastAsia="宋体"/>
                <w:b w:val="0"/>
                <w:sz w:val="21"/>
              </w:rPr>
              <w:t>扩展查询和关键词</w:t>
            </w:r>
          </w:p>
        </w:tc>
        <w:tc>
          <w:tcPr>
            <w:tcW w:w="2268" w:type="dxa"/>
            <w:vAlign w:val="center"/>
          </w:tcPr>
          <w:p w14:paraId="459900D3">
            <w:pPr>
              <w:jc w:val="left"/>
            </w:pPr>
            <w:r>
              <w:rPr>
                <w:rFonts w:ascii="Times New Roman" w:hAnsi="Times New Roman" w:eastAsia="宋体"/>
                <w:b w:val="0"/>
                <w:sz w:val="21"/>
              </w:rPr>
              <w:t>词项匹配候选 chunk</w:t>
            </w:r>
          </w:p>
        </w:tc>
        <w:tc>
          <w:tcPr>
            <w:tcW w:w="3005" w:type="dxa"/>
            <w:vAlign w:val="center"/>
          </w:tcPr>
          <w:p w14:paraId="611F0352">
            <w:pPr>
              <w:jc w:val="left"/>
            </w:pPr>
            <w:r>
              <w:rPr>
                <w:rFonts w:ascii="Times New Roman" w:hAnsi="Times New Roman" w:eastAsia="宋体"/>
                <w:b w:val="0"/>
                <w:sz w:val="21"/>
              </w:rPr>
              <w:t>覆盖故障代码、部件名和专有术语</w:t>
            </w:r>
          </w:p>
        </w:tc>
      </w:tr>
      <w:tr w14:paraId="7A0949F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vAlign w:val="center"/>
          </w:tcPr>
          <w:p w14:paraId="6229AABF">
            <w:pPr>
              <w:jc w:val="left"/>
            </w:pPr>
            <w:r>
              <w:rPr>
                <w:rFonts w:ascii="Times New Roman" w:hAnsi="Times New Roman" w:eastAsia="宋体"/>
                <w:b w:val="0"/>
                <w:sz w:val="21"/>
              </w:rPr>
              <w:t>融合排序</w:t>
            </w:r>
          </w:p>
        </w:tc>
        <w:tc>
          <w:tcPr>
            <w:tcW w:w="1757" w:type="dxa"/>
            <w:vAlign w:val="center"/>
          </w:tcPr>
          <w:p w14:paraId="54B0A5A7">
            <w:pPr>
              <w:jc w:val="left"/>
            </w:pPr>
            <w:r>
              <w:rPr>
                <w:rFonts w:ascii="Times New Roman" w:hAnsi="Times New Roman" w:eastAsia="宋体"/>
                <w:b w:val="0"/>
                <w:sz w:val="21"/>
              </w:rPr>
              <w:t>多路候选</w:t>
            </w:r>
          </w:p>
        </w:tc>
        <w:tc>
          <w:tcPr>
            <w:tcW w:w="2268" w:type="dxa"/>
            <w:vAlign w:val="center"/>
          </w:tcPr>
          <w:p w14:paraId="05FF83F5">
            <w:pPr>
              <w:jc w:val="left"/>
            </w:pPr>
            <w:r>
              <w:rPr>
                <w:rFonts w:ascii="Times New Roman" w:hAnsi="Times New Roman" w:eastAsia="宋体"/>
                <w:b w:val="0"/>
                <w:sz w:val="21"/>
              </w:rPr>
              <w:t>统一候选列表</w:t>
            </w:r>
          </w:p>
        </w:tc>
        <w:tc>
          <w:tcPr>
            <w:tcW w:w="3005" w:type="dxa"/>
            <w:vAlign w:val="center"/>
          </w:tcPr>
          <w:p w14:paraId="3792B612">
            <w:pPr>
              <w:jc w:val="left"/>
            </w:pPr>
            <w:r>
              <w:rPr>
                <w:rFonts w:ascii="Times New Roman" w:hAnsi="Times New Roman" w:eastAsia="宋体"/>
                <w:b w:val="0"/>
                <w:sz w:val="21"/>
              </w:rPr>
              <w:t>兼顾语义分数和关键词命中</w:t>
            </w:r>
          </w:p>
        </w:tc>
      </w:tr>
      <w:tr w14:paraId="2391AD0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474" w:type="dxa"/>
            <w:vAlign w:val="center"/>
          </w:tcPr>
          <w:p w14:paraId="69520DFD">
            <w:pPr>
              <w:jc w:val="left"/>
            </w:pPr>
            <w:r>
              <w:rPr>
                <w:rFonts w:ascii="Times New Roman" w:hAnsi="Times New Roman" w:eastAsia="宋体"/>
                <w:b w:val="0"/>
                <w:sz w:val="21"/>
              </w:rPr>
              <w:t>重排与置信度</w:t>
            </w:r>
          </w:p>
        </w:tc>
        <w:tc>
          <w:tcPr>
            <w:tcW w:w="1757" w:type="dxa"/>
            <w:vAlign w:val="center"/>
          </w:tcPr>
          <w:p w14:paraId="623660D6">
            <w:pPr>
              <w:jc w:val="left"/>
            </w:pPr>
            <w:r>
              <w:rPr>
                <w:rFonts w:ascii="Times New Roman" w:hAnsi="Times New Roman" w:eastAsia="宋体"/>
                <w:b w:val="0"/>
                <w:sz w:val="21"/>
              </w:rPr>
              <w:t>候选列表</w:t>
            </w:r>
          </w:p>
        </w:tc>
        <w:tc>
          <w:tcPr>
            <w:tcW w:w="2268" w:type="dxa"/>
            <w:vAlign w:val="center"/>
          </w:tcPr>
          <w:p w14:paraId="1E47F334">
            <w:pPr>
              <w:jc w:val="left"/>
            </w:pPr>
            <w:r>
              <w:rPr>
                <w:rFonts w:ascii="Times New Roman" w:hAnsi="Times New Roman" w:eastAsia="宋体"/>
                <w:b w:val="0"/>
                <w:sz w:val="21"/>
              </w:rPr>
              <w:t>最终上下文和置信度标签</w:t>
            </w:r>
          </w:p>
        </w:tc>
        <w:tc>
          <w:tcPr>
            <w:tcW w:w="3005" w:type="dxa"/>
            <w:vAlign w:val="center"/>
          </w:tcPr>
          <w:p w14:paraId="6D79702B">
            <w:pPr>
              <w:jc w:val="left"/>
            </w:pPr>
            <w:r>
              <w:rPr>
                <w:rFonts w:ascii="Times New Roman" w:hAnsi="Times New Roman" w:eastAsia="宋体"/>
                <w:b w:val="0"/>
                <w:sz w:val="21"/>
              </w:rPr>
              <w:t>提升排序质量并控制低证据回答风险</w:t>
            </w:r>
          </w:p>
        </w:tc>
      </w:tr>
    </w:tbl>
    <w:p w14:paraId="73E8DA6C"/>
    <w:p w14:paraId="4A571032">
      <w:pPr>
        <w:pStyle w:val="4"/>
      </w:pPr>
      <w:r>
        <w:rPr>
          <w:rFonts w:ascii="Times New Roman" w:hAnsi="Times New Roman" w:eastAsia="宋体"/>
        </w:rPr>
        <w:t>4.4 生成链路与多轮记忆</w:t>
      </w:r>
    </w:p>
    <w:p w14:paraId="24A946A2">
      <w:r>
        <w:rPr>
          <w:rFonts w:ascii="Times New Roman" w:hAnsi="Times New Roman" w:eastAsia="宋体"/>
        </w:rPr>
        <w:t>RagAgentService 负责最终回答生成。系统使用 ChatQwen，并提供 retrieve_knowledge 与 get_current_time 等工具；启动时尝试加载 MCP 工具，失败时降级为本地工具。回答前，系统将检索结果包装为系统提示词，而不是简单拼接到用户问题后面，并根据不同置信度采用不同回答策略。</w:t>
      </w:r>
    </w:p>
    <w:p w14:paraId="2C48FD95">
      <w:r>
        <w:rPr>
          <w:rFonts w:ascii="Times New Roman" w:hAnsi="Times New Roman" w:eastAsia="宋体"/>
        </w:rPr>
        <w:t>ConversationMemoryService 使用进程内 session 存储最近若干轮对话，超出窗口后对历史进行摘要压缩。摘要重点保留故障对象、已确认事实、用户目标和未解决问题。该设计适合作为轻量级会话记忆机制写入论文，但需要说明当前尚未持久化，服务重启后会话记忆会丢失。</w:t>
      </w:r>
    </w:p>
    <w:p w14:paraId="7529B07E">
      <w:pPr>
        <w:pStyle w:val="4"/>
      </w:pPr>
      <w:r>
        <w:rPr>
          <w:rFonts w:ascii="Times New Roman" w:hAnsi="Times New Roman" w:eastAsia="宋体"/>
        </w:rPr>
        <w:t>4.5 低置信度知识闭环</w:t>
      </w:r>
    </w:p>
    <w:p w14:paraId="0C2971BB">
      <w:r>
        <w:rPr>
          <w:rFonts w:ascii="Times New Roman" w:hAnsi="Times New Roman" w:eastAsia="宋体"/>
        </w:rPr>
        <w:t>低置信闭环是本文系统最具论文价值的工程点之一。当 HybridRetrievalService 判断 overall confidence 为 low 时，RagAgentService 会调用 SupplementQueueService.enqueue 将问题写入 PostgreSQL。落库内容包括原始问题、归一化问题、查询指纹、置信度原因、top1/top2/avgTop3 分数、query analysis、retrieval debug 和 top N 候选 chunk 快照。</w:t>
      </w:r>
    </w:p>
    <w:p w14:paraId="7E57ED2F">
      <w:r>
        <w:rPr>
          <w:rFonts w:ascii="Times New Roman" w:hAnsi="Times New Roman" w:eastAsia="宋体"/>
        </w:rPr>
        <w:t>QueryFingerprintService 对语义接近的问题进行规则归一，生成稳定 query_fingerprint，使后台能够按问题簇而非单条自然语言问题管理低置信事件。ChunkCurationService 进一步提供 chunk 当前版本查询、草稿保存、发布、编辑历史、Milvus 回写和 JSONL 语料同步，使知识补充从抽象流程落到 chunk 级别。</w:t>
      </w:r>
    </w:p>
    <w:p w14:paraId="2AFCB49A">
      <w:pPr>
        <w:pStyle w:val="149"/>
      </w:pPr>
      <w:r>
        <w:rPr>
          <w:rFonts w:ascii="Times New Roman" w:hAnsi="Times New Roman" w:eastAsia="宋体"/>
        </w:rPr>
        <w:t>检索失败/低置信 -&gt; 问题沉淀 -&gt; 指纹聚合 -&gt; 人工修订 chunk -&gt; 发布 -&gt; 回写 Milvus 与 JSONL 语料</w:t>
      </w:r>
    </w:p>
    <w:p w14:paraId="36BCE70A">
      <w:pPr>
        <w:pStyle w:val="3"/>
      </w:pPr>
      <w:r>
        <w:rPr>
          <w:rFonts w:ascii="Times New Roman" w:hAnsi="Times New Roman" w:eastAsia="宋体"/>
        </w:rPr>
        <w:t>第 5 章 Plan-Execute-Replan AIOps Agent 设计</w:t>
      </w:r>
    </w:p>
    <w:p w14:paraId="6A78F32E">
      <w:pPr>
        <w:pStyle w:val="4"/>
      </w:pPr>
      <w:r>
        <w:rPr>
          <w:rFonts w:ascii="Times New Roman" w:hAnsi="Times New Roman" w:eastAsia="宋体"/>
        </w:rPr>
        <w:t>5.1 总体结构</w:t>
      </w:r>
    </w:p>
    <w:p w14:paraId="577E6BD4">
      <w:r>
        <w:rPr>
          <w:rFonts w:ascii="Times New Roman" w:hAnsi="Times New Roman" w:eastAsia="宋体"/>
        </w:rPr>
        <w:t>AIOps Agent 由 app/services/aiops_service.py 组织，状态结构定义在 app/agent/aiops/state.py，核心节点包括 planner.py、executor.py 和 replanner.py。系统通过 LangGraph 将三个节点串联为 Plan -&gt; Execute -&gt; Replan 工作流，并通过 SSE 向前端流式输出计划、执行过程和最终诊断报告。</w:t>
      </w:r>
    </w:p>
    <w:p w14:paraId="23F806F7">
      <w:pPr>
        <w:pStyle w:val="4"/>
      </w:pPr>
      <w:r>
        <w:rPr>
          <w:rFonts w:ascii="Times New Roman" w:hAnsi="Times New Roman" w:eastAsia="宋体"/>
        </w:rPr>
        <w:t>5.2 Planner</w:t>
      </w:r>
    </w:p>
    <w:p w14:paraId="2E01CCEA">
      <w:r>
        <w:rPr>
          <w:rFonts w:ascii="Times New Roman" w:hAnsi="Times New Roman" w:eastAsia="宋体"/>
        </w:rPr>
        <w:t>Planner 在生成计划前会先调用 retrieve_knowledge 从知识库检索经验，再获取本地工具与 MCP 工具描述，最后由 LLM 生成结构化步骤列表。这体现出 AIOps Agent 并不是纯工具驱动，而是先参考已有运维知识，再决定需要调用哪些工具。</w:t>
      </w:r>
    </w:p>
    <w:p w14:paraId="6A6356D3">
      <w:pPr>
        <w:pStyle w:val="4"/>
      </w:pPr>
      <w:r>
        <w:rPr>
          <w:rFonts w:ascii="Times New Roman" w:hAnsi="Times New Roman" w:eastAsia="宋体"/>
        </w:rPr>
        <w:t>5.3 Executor</w:t>
      </w:r>
    </w:p>
    <w:p w14:paraId="14995530">
      <w:r>
        <w:rPr>
          <w:rFonts w:ascii="Times New Roman" w:hAnsi="Times New Roman" w:eastAsia="宋体"/>
        </w:rPr>
        <w:t>Executor 每次读取一个待执行步骤，将本地工具与 MCP 工具绑定到 LLM，让模型决定是否调用工具。若模型输出工具调用，则通过 ToolNode 自动执行；工具返回结果后再交由 LLM 生成该步骤的执行结果。该设计使执行过程既能利用外部数据，又能保留自然语言解释。</w:t>
      </w:r>
    </w:p>
    <w:p w14:paraId="04E477BF">
      <w:pPr>
        <w:pStyle w:val="4"/>
      </w:pPr>
      <w:r>
        <w:rPr>
          <w:rFonts w:ascii="Times New Roman" w:hAnsi="Times New Roman" w:eastAsia="宋体"/>
        </w:rPr>
        <w:t>5.4 Replanner</w:t>
      </w:r>
    </w:p>
    <w:p w14:paraId="7B803F2D">
      <w:r>
        <w:rPr>
          <w:rFonts w:ascii="Times New Roman" w:hAnsi="Times New Roman" w:eastAsia="宋体"/>
        </w:rPr>
        <w:t>Replanner 在每轮执行后判断下一步动作，可选择 continue、replan 或 respond。系统设置了步数上限和若干强制收敛规则，以避免 Agent 在复杂任务中反复规划却迟迟不输出结论。对故障诊断任务而言，重规划机制能够处理“初始计划不足、工具结果改变判断、证据已经充分”三类常见情况。</w:t>
      </w:r>
    </w:p>
    <w:p w14:paraId="5AEDF6EB">
      <w:pPr>
        <w:pStyle w:val="4"/>
      </w:pPr>
      <w:r>
        <w:rPr>
          <w:rFonts w:ascii="Times New Roman" w:hAnsi="Times New Roman" w:eastAsia="宋体"/>
        </w:rPr>
        <w:t>5.5 工具接入与真实性边界</w:t>
      </w:r>
    </w:p>
    <w:p w14:paraId="2538126A">
      <w:r>
        <w:rPr>
          <w:rFonts w:ascii="Times New Roman" w:hAnsi="Times New Roman" w:eastAsia="宋体"/>
        </w:rPr>
        <w:t>当前系统的 MCP 工具主要由 mcp_servers/cls_server.py 和 mcp_servers/monitor_server.py 提供。它们可以证明工具接入、调用编排、SSE 输出和诊断报告生成机制存在，但其监控序列和日志数据仍以本地 mock 为主。因此，论文中应将该模块表述为“可扩展的工具接入原型”或“基于模拟监控/日志环境的验证平台”，而不是已经在真实生产系统上验证的自动故障诊断平台。</w:t>
      </w:r>
    </w:p>
    <w:p w14:paraId="2D442B20">
      <w:pPr>
        <w:pStyle w:val="3"/>
      </w:pPr>
      <w:r>
        <w:rPr>
          <w:rFonts w:ascii="Times New Roman" w:hAnsi="Times New Roman" w:eastAsia="宋体"/>
        </w:rPr>
        <w:t>第 6 章 数据与存储设计</w:t>
      </w:r>
    </w:p>
    <w:p w14:paraId="3F33C82C">
      <w:pPr>
        <w:pStyle w:val="4"/>
      </w:pPr>
      <w:r>
        <w:rPr>
          <w:rFonts w:ascii="Times New Roman" w:hAnsi="Times New Roman" w:eastAsia="宋体"/>
        </w:rPr>
        <w:t>6.1 Milvus 向量索引</w:t>
      </w:r>
    </w:p>
    <w:p w14:paraId="1AFF1D35">
      <w:r>
        <w:rPr>
          <w:rFonts w:ascii="Times New Roman" w:hAnsi="Times New Roman" w:eastAsia="宋体"/>
        </w:rPr>
        <w:t>Milvus 由 app/core/milvus_client.py 自动管理 collection。当前向量维度为 1024，相似度度量为 L2，索引类型为 IVF_FLAT，主键为字符串 id，主要字段包括 id、vector、content 和 metadata。该部分支撑语义向量召回，是 RAG 主链路的核心外部存储。</w:t>
      </w:r>
    </w:p>
    <w:p w14:paraId="0F4240D9">
      <w:pPr>
        <w:pStyle w:val="4"/>
      </w:pPr>
      <w:r>
        <w:rPr>
          <w:rFonts w:ascii="Times New Roman" w:hAnsi="Times New Roman" w:eastAsia="宋体"/>
        </w:rPr>
        <w:t>6.2 PostgreSQL 审计与知识资产表</w:t>
      </w:r>
    </w:p>
    <w:p w14:paraId="6C3DC3D1">
      <w:r>
        <w:rPr>
          <w:rFonts w:ascii="Times New Roman" w:hAnsi="Times New Roman" w:eastAsia="宋体"/>
        </w:rPr>
        <w:t>sql/001_init_low_confidence_pgsql.sql 定义了 documents、document_chunks、low_confidence_events、low_confidence_event_chunks 和 chunk_edit_history 等表。其中 documents 与 document_chunks 负责知识资产管理，low_confidence_* 与 chunk_edit_history 负责低置信事件审计、问题回放和人工修订历史。</w:t>
      </w:r>
    </w:p>
    <w:p w14:paraId="7B9FA678">
      <w:pPr>
        <w:pStyle w:val="4"/>
      </w:pPr>
      <w:r>
        <w:rPr>
          <w:rFonts w:ascii="Times New Roman" w:hAnsi="Times New Roman" w:eastAsia="宋体"/>
        </w:rPr>
        <w:t>6.3 本地 JSONL 语料</w:t>
      </w:r>
    </w:p>
    <w:p w14:paraId="62A92D3D">
      <w:r>
        <w:rPr>
          <w:rFonts w:ascii="Times New Roman" w:hAnsi="Times New Roman" w:eastAsia="宋体"/>
        </w:rPr>
        <w:t>KnowledgeCorpusService 维护本地 JSONL 语料文件。该文件一方面作为 BM25 的基础语料，另一方面作为 chunk 发布后需要同步的第二份在线知识表示。与 Milvus 相比，JSONL 更易检查、易导出、易用于实验脚本，因此对论文实验和人工排查均有价值。</w:t>
      </w:r>
    </w:p>
    <w:p w14:paraId="75819A03">
      <w:pPr>
        <w:pStyle w:val="4"/>
      </w:pPr>
      <w:r>
        <w:rPr>
          <w:rFonts w:ascii="Times New Roman" w:hAnsi="Times New Roman" w:eastAsia="宋体"/>
        </w:rPr>
        <w:t>6.4 配置与降级策略</w:t>
      </w:r>
    </w:p>
    <w:p w14:paraId="20E633B3">
      <w:r>
        <w:rPr>
          <w:rFonts w:ascii="Times New Roman" w:hAnsi="Times New Roman" w:eastAsia="宋体"/>
        </w:rPr>
        <w:t>系统主要外部依赖包括 DashScope/Qwen、DashScope text-embedding-v4、Milvus、PostgreSQL、可选 Cohere reranker，以及 CLS 与 Monitor 两个 MCP 服务。项目提供若干降级策略：MCP 工具加载失败时退化为本地工具；在线 embedding 失败时使用本地 deterministic embedding；在线 rerank 失败时退回本地 rerank。这些策略体现了原型系统“可运行优先”的工程取向。</w:t>
      </w:r>
    </w:p>
    <w:p w14:paraId="13246145">
      <w:pPr>
        <w:pStyle w:val="3"/>
      </w:pPr>
      <w:r>
        <w:rPr>
          <w:rFonts w:ascii="Times New Roman" w:hAnsi="Times New Roman" w:eastAsia="宋体"/>
        </w:rPr>
        <w:t>第 7 章 实验设计</w:t>
      </w:r>
    </w:p>
    <w:p w14:paraId="556A4D0D">
      <w:pPr>
        <w:pStyle w:val="4"/>
      </w:pPr>
      <w:r>
        <w:rPr>
          <w:rFonts w:ascii="Times New Roman" w:hAnsi="Times New Roman" w:eastAsia="宋体"/>
        </w:rPr>
        <w:t>7.1 实验目标与假设</w:t>
      </w:r>
    </w:p>
    <w:p w14:paraId="1600D12F">
      <w:r>
        <w:rPr>
          <w:rFonts w:ascii="Times New Roman" w:hAnsi="Times New Roman" w:eastAsia="宋体"/>
        </w:rPr>
        <w:t>实验总体目标是验证当前 RAG 模块在机器故障知识问答场景中的检索有效性与回答可靠性，验证 Plan-Execute-Replan 诊断模式相较直接问答和单循环工具调用的诊断质量，并分析将 RAG 经验知识引入 Agent 规划后对根因分析和建议质量的影响。</w:t>
      </w:r>
    </w:p>
    <w:tbl>
      <w:tblPr>
        <w:tblStyle w:val="34"/>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134"/>
        <w:gridCol w:w="7370"/>
      </w:tblGrid>
      <w:tr w14:paraId="2FF390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shd w:val="clear" w:color="auto" w:fill="D9EAF7"/>
            <w:vAlign w:val="center"/>
          </w:tcPr>
          <w:p w14:paraId="461AE3A7">
            <w:pPr>
              <w:jc w:val="center"/>
            </w:pPr>
            <w:r>
              <w:rPr>
                <w:rFonts w:ascii="Times New Roman" w:hAnsi="Times New Roman" w:eastAsia="宋体"/>
                <w:b/>
                <w:sz w:val="21"/>
              </w:rPr>
              <w:t>假设</w:t>
            </w:r>
          </w:p>
        </w:tc>
        <w:tc>
          <w:tcPr>
            <w:tcW w:w="7370" w:type="dxa"/>
            <w:shd w:val="clear" w:color="auto" w:fill="D9EAF7"/>
            <w:vAlign w:val="center"/>
          </w:tcPr>
          <w:p w14:paraId="6BAFA4E0">
            <w:pPr>
              <w:jc w:val="center"/>
            </w:pPr>
            <w:r>
              <w:rPr>
                <w:rFonts w:ascii="Times New Roman" w:hAnsi="Times New Roman" w:eastAsia="宋体"/>
                <w:b/>
                <w:sz w:val="21"/>
              </w:rPr>
              <w:t>内容</w:t>
            </w:r>
          </w:p>
        </w:tc>
      </w:tr>
      <w:tr w14:paraId="2E6765F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69F0316D">
            <w:pPr>
              <w:jc w:val="left"/>
            </w:pPr>
            <w:r>
              <w:rPr>
                <w:rFonts w:ascii="Times New Roman" w:hAnsi="Times New Roman" w:eastAsia="宋体"/>
                <w:b w:val="0"/>
                <w:sz w:val="21"/>
              </w:rPr>
              <w:t>H1</w:t>
            </w:r>
          </w:p>
        </w:tc>
        <w:tc>
          <w:tcPr>
            <w:tcW w:w="7370" w:type="dxa"/>
            <w:vAlign w:val="center"/>
          </w:tcPr>
          <w:p w14:paraId="1D65462B">
            <w:pPr>
              <w:jc w:val="left"/>
            </w:pPr>
            <w:r>
              <w:rPr>
                <w:rFonts w:ascii="Times New Roman" w:hAnsi="Times New Roman" w:eastAsia="宋体"/>
                <w:b w:val="0"/>
                <w:sz w:val="21"/>
              </w:rPr>
              <w:t>相较单一路径向量召回，混合召回将提升故障知识检索的 Recall@k。</w:t>
            </w:r>
          </w:p>
        </w:tc>
      </w:tr>
      <w:tr w14:paraId="06AD8AB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76CA39BA">
            <w:pPr>
              <w:jc w:val="left"/>
            </w:pPr>
            <w:r>
              <w:rPr>
                <w:rFonts w:ascii="Times New Roman" w:hAnsi="Times New Roman" w:eastAsia="宋体"/>
                <w:b w:val="0"/>
                <w:sz w:val="21"/>
              </w:rPr>
              <w:t>H2</w:t>
            </w:r>
          </w:p>
        </w:tc>
        <w:tc>
          <w:tcPr>
            <w:tcW w:w="7370" w:type="dxa"/>
            <w:vAlign w:val="center"/>
          </w:tcPr>
          <w:p w14:paraId="76D152FB">
            <w:pPr>
              <w:jc w:val="left"/>
            </w:pPr>
            <w:r>
              <w:rPr>
                <w:rFonts w:ascii="Times New Roman" w:hAnsi="Times New Roman" w:eastAsia="宋体"/>
                <w:b w:val="0"/>
                <w:sz w:val="21"/>
              </w:rPr>
              <w:t>在混合召回基础上引入启发式重排后，首命中排序位置将改善，表现为 MRR 提升。</w:t>
            </w:r>
          </w:p>
        </w:tc>
      </w:tr>
      <w:tr w14:paraId="23684A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6A2A79C8">
            <w:pPr>
              <w:jc w:val="left"/>
            </w:pPr>
            <w:r>
              <w:rPr>
                <w:rFonts w:ascii="Times New Roman" w:hAnsi="Times New Roman" w:eastAsia="宋体"/>
                <w:b w:val="0"/>
                <w:sz w:val="21"/>
              </w:rPr>
              <w:t>H3</w:t>
            </w:r>
          </w:p>
        </w:tc>
        <w:tc>
          <w:tcPr>
            <w:tcW w:w="7370" w:type="dxa"/>
            <w:vAlign w:val="center"/>
          </w:tcPr>
          <w:p w14:paraId="7FCE473A">
            <w:pPr>
              <w:jc w:val="left"/>
            </w:pPr>
            <w:r>
              <w:rPr>
                <w:rFonts w:ascii="Times New Roman" w:hAnsi="Times New Roman" w:eastAsia="宋体"/>
                <w:b w:val="0"/>
                <w:sz w:val="21"/>
              </w:rPr>
              <w:t>置信度分层不会直接提升召回率，但能够降低证据不足时给出肯定回答的风险。</w:t>
            </w:r>
          </w:p>
        </w:tc>
      </w:tr>
      <w:tr w14:paraId="0884E8B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22C7A6D6">
            <w:pPr>
              <w:jc w:val="left"/>
            </w:pPr>
            <w:r>
              <w:rPr>
                <w:rFonts w:ascii="Times New Roman" w:hAnsi="Times New Roman" w:eastAsia="宋体"/>
                <w:b w:val="0"/>
                <w:sz w:val="21"/>
              </w:rPr>
              <w:t>H4</w:t>
            </w:r>
          </w:p>
        </w:tc>
        <w:tc>
          <w:tcPr>
            <w:tcW w:w="7370" w:type="dxa"/>
            <w:vAlign w:val="center"/>
          </w:tcPr>
          <w:p w14:paraId="75FDB5BB">
            <w:pPr>
              <w:jc w:val="left"/>
            </w:pPr>
            <w:r>
              <w:rPr>
                <w:rFonts w:ascii="Times New Roman" w:hAnsi="Times New Roman" w:eastAsia="宋体"/>
                <w:b w:val="0"/>
                <w:sz w:val="21"/>
              </w:rPr>
              <w:t>Plan-Execute-Replan Agent 在根因准确率和证据完整性上优于直接生成式基线。</w:t>
            </w:r>
          </w:p>
        </w:tc>
      </w:tr>
      <w:tr w14:paraId="376BE96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5A43BB5E">
            <w:pPr>
              <w:jc w:val="left"/>
            </w:pPr>
            <w:r>
              <w:rPr>
                <w:rFonts w:ascii="Times New Roman" w:hAnsi="Times New Roman" w:eastAsia="宋体"/>
                <w:b w:val="0"/>
                <w:sz w:val="21"/>
              </w:rPr>
              <w:t>H5</w:t>
            </w:r>
          </w:p>
        </w:tc>
        <w:tc>
          <w:tcPr>
            <w:tcW w:w="7370" w:type="dxa"/>
            <w:vAlign w:val="center"/>
          </w:tcPr>
          <w:p w14:paraId="750323F2">
            <w:pPr>
              <w:jc w:val="left"/>
            </w:pPr>
            <w:r>
              <w:rPr>
                <w:rFonts w:ascii="Times New Roman" w:hAnsi="Times New Roman" w:eastAsia="宋体"/>
                <w:b w:val="0"/>
                <w:sz w:val="21"/>
              </w:rPr>
              <w:t>在 Plan-Execute-Replan 中加入 RAG 经验知识后，复杂案例中的根因结论质量将进一步提升，但会增加推理开销。</w:t>
            </w:r>
          </w:p>
        </w:tc>
      </w:tr>
    </w:tbl>
    <w:p w14:paraId="2212AAE1"/>
    <w:p w14:paraId="37AFDB6A">
      <w:pPr>
        <w:pStyle w:val="4"/>
      </w:pPr>
      <w:r>
        <w:rPr>
          <w:rFonts w:ascii="Times New Roman" w:hAnsi="Times New Roman" w:eastAsia="宋体"/>
        </w:rPr>
        <w:t>7.2 RAG 模块实验设计</w:t>
      </w:r>
    </w:p>
    <w:p w14:paraId="36EF4F9C">
      <w:r>
        <w:rPr>
          <w:rFonts w:ascii="Times New Roman" w:hAnsi="Times New Roman" w:eastAsia="宋体"/>
        </w:rPr>
        <w:t>RAG 实验分为检索层实验和回答层实验。当前仓库提供 aiops-docs/testsets/rag_eval_v1.jsonl，共 160 条标注样本；同时提供 context_catalog_v1.jsonl，共 1129 条记录，可作为知识片段目录和样本核验材料。检索层实验可以直接使用 scripts/evaluate_rag_recall.py 输出 Recall@k、MRR 和命中样本数。回答层实验则需要在现有样本基础上补充参考答案或人工评分流程。</w:t>
      </w:r>
    </w:p>
    <w:tbl>
      <w:tblPr>
        <w:tblStyle w:val="34"/>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134"/>
        <w:gridCol w:w="5102"/>
        <w:gridCol w:w="2268"/>
      </w:tblGrid>
      <w:tr w14:paraId="5D222BC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shd w:val="clear" w:color="auto" w:fill="D9EAF7"/>
            <w:vAlign w:val="center"/>
          </w:tcPr>
          <w:p w14:paraId="3E71CC3E">
            <w:pPr>
              <w:jc w:val="center"/>
            </w:pPr>
            <w:r>
              <w:rPr>
                <w:rFonts w:ascii="Times New Roman" w:hAnsi="Times New Roman" w:eastAsia="宋体"/>
                <w:b/>
                <w:sz w:val="21"/>
              </w:rPr>
              <w:t>组别</w:t>
            </w:r>
          </w:p>
        </w:tc>
        <w:tc>
          <w:tcPr>
            <w:tcW w:w="5102" w:type="dxa"/>
            <w:shd w:val="clear" w:color="auto" w:fill="D9EAF7"/>
            <w:vAlign w:val="center"/>
          </w:tcPr>
          <w:p w14:paraId="6D50AC80">
            <w:pPr>
              <w:jc w:val="center"/>
            </w:pPr>
            <w:r>
              <w:rPr>
                <w:rFonts w:ascii="Times New Roman" w:hAnsi="Times New Roman" w:eastAsia="宋体"/>
                <w:b/>
                <w:sz w:val="21"/>
              </w:rPr>
              <w:t>描述</w:t>
            </w:r>
          </w:p>
        </w:tc>
        <w:tc>
          <w:tcPr>
            <w:tcW w:w="2268" w:type="dxa"/>
            <w:shd w:val="clear" w:color="auto" w:fill="D9EAF7"/>
            <w:vAlign w:val="center"/>
          </w:tcPr>
          <w:p w14:paraId="7831A58A">
            <w:pPr>
              <w:jc w:val="center"/>
            </w:pPr>
            <w:r>
              <w:rPr>
                <w:rFonts w:ascii="Times New Roman" w:hAnsi="Times New Roman" w:eastAsia="宋体"/>
                <w:b/>
                <w:sz w:val="21"/>
              </w:rPr>
              <w:t>当前状态</w:t>
            </w:r>
          </w:p>
        </w:tc>
      </w:tr>
      <w:tr w14:paraId="1A9C240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42665689">
            <w:pPr>
              <w:jc w:val="left"/>
            </w:pPr>
            <w:r>
              <w:rPr>
                <w:rFonts w:ascii="Times New Roman" w:hAnsi="Times New Roman" w:eastAsia="宋体"/>
                <w:b w:val="0"/>
                <w:sz w:val="21"/>
              </w:rPr>
              <w:t>R0</w:t>
            </w:r>
          </w:p>
        </w:tc>
        <w:tc>
          <w:tcPr>
            <w:tcW w:w="5102" w:type="dxa"/>
            <w:vAlign w:val="center"/>
          </w:tcPr>
          <w:p w14:paraId="7B66E535">
            <w:pPr>
              <w:jc w:val="left"/>
            </w:pPr>
            <w:r>
              <w:rPr>
                <w:rFonts w:ascii="Times New Roman" w:hAnsi="Times New Roman" w:eastAsia="宋体"/>
                <w:b w:val="0"/>
                <w:sz w:val="21"/>
              </w:rPr>
              <w:t>单一路径向量召回，不启用 BM25 融合，不启用额外重排</w:t>
            </w:r>
          </w:p>
        </w:tc>
        <w:tc>
          <w:tcPr>
            <w:tcW w:w="2268" w:type="dxa"/>
            <w:vAlign w:val="center"/>
          </w:tcPr>
          <w:p w14:paraId="2E8E21CA">
            <w:pPr>
              <w:jc w:val="left"/>
            </w:pPr>
            <w:r>
              <w:rPr>
                <w:rFonts w:ascii="Times New Roman" w:hAnsi="Times New Roman" w:eastAsia="宋体"/>
                <w:b w:val="0"/>
                <w:sz w:val="21"/>
              </w:rPr>
              <w:t>需补充开关或单独脚本</w:t>
            </w:r>
          </w:p>
        </w:tc>
      </w:tr>
      <w:tr w14:paraId="54D2C57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091D9A6C">
            <w:pPr>
              <w:jc w:val="left"/>
            </w:pPr>
            <w:r>
              <w:rPr>
                <w:rFonts w:ascii="Times New Roman" w:hAnsi="Times New Roman" w:eastAsia="宋体"/>
                <w:b w:val="0"/>
                <w:sz w:val="21"/>
              </w:rPr>
              <w:t>R1</w:t>
            </w:r>
          </w:p>
        </w:tc>
        <w:tc>
          <w:tcPr>
            <w:tcW w:w="5102" w:type="dxa"/>
            <w:vAlign w:val="center"/>
          </w:tcPr>
          <w:p w14:paraId="746ACA60">
            <w:pPr>
              <w:jc w:val="left"/>
            </w:pPr>
            <w:r>
              <w:rPr>
                <w:rFonts w:ascii="Times New Roman" w:hAnsi="Times New Roman" w:eastAsia="宋体"/>
                <w:b w:val="0"/>
                <w:sz w:val="21"/>
              </w:rPr>
              <w:t>向量召回 + BM25 混合召回，不启用重排</w:t>
            </w:r>
          </w:p>
        </w:tc>
        <w:tc>
          <w:tcPr>
            <w:tcW w:w="2268" w:type="dxa"/>
            <w:vAlign w:val="center"/>
          </w:tcPr>
          <w:p w14:paraId="7F75B242">
            <w:pPr>
              <w:jc w:val="left"/>
            </w:pPr>
            <w:r>
              <w:rPr>
                <w:rFonts w:ascii="Times New Roman" w:hAnsi="Times New Roman" w:eastAsia="宋体"/>
                <w:b w:val="0"/>
                <w:sz w:val="21"/>
              </w:rPr>
              <w:t>需补充开关或单独脚本</w:t>
            </w:r>
          </w:p>
        </w:tc>
      </w:tr>
      <w:tr w14:paraId="6500289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690AAD50">
            <w:pPr>
              <w:jc w:val="left"/>
            </w:pPr>
            <w:r>
              <w:rPr>
                <w:rFonts w:ascii="Times New Roman" w:hAnsi="Times New Roman" w:eastAsia="宋体"/>
                <w:b w:val="0"/>
                <w:sz w:val="21"/>
              </w:rPr>
              <w:t>R2</w:t>
            </w:r>
          </w:p>
        </w:tc>
        <w:tc>
          <w:tcPr>
            <w:tcW w:w="5102" w:type="dxa"/>
            <w:vAlign w:val="center"/>
          </w:tcPr>
          <w:p w14:paraId="1FD6FFAE">
            <w:pPr>
              <w:jc w:val="left"/>
            </w:pPr>
            <w:r>
              <w:rPr>
                <w:rFonts w:ascii="Times New Roman" w:hAnsi="Times New Roman" w:eastAsia="宋体"/>
                <w:b w:val="0"/>
                <w:sz w:val="21"/>
              </w:rPr>
              <w:t>向量召回 + BM25 混合召回 + 启发式重排</w:t>
            </w:r>
          </w:p>
        </w:tc>
        <w:tc>
          <w:tcPr>
            <w:tcW w:w="2268" w:type="dxa"/>
            <w:vAlign w:val="center"/>
          </w:tcPr>
          <w:p w14:paraId="61046BB3">
            <w:pPr>
              <w:jc w:val="left"/>
            </w:pPr>
            <w:r>
              <w:rPr>
                <w:rFonts w:ascii="Times New Roman" w:hAnsi="Times New Roman" w:eastAsia="宋体"/>
                <w:b w:val="0"/>
                <w:sz w:val="21"/>
              </w:rPr>
              <w:t>与当前实现最接近</w:t>
            </w:r>
          </w:p>
        </w:tc>
      </w:tr>
      <w:tr w14:paraId="189E607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3AFBAFA3">
            <w:pPr>
              <w:jc w:val="left"/>
            </w:pPr>
            <w:r>
              <w:rPr>
                <w:rFonts w:ascii="Times New Roman" w:hAnsi="Times New Roman" w:eastAsia="宋体"/>
                <w:b w:val="0"/>
                <w:sz w:val="21"/>
              </w:rPr>
              <w:t>R3</w:t>
            </w:r>
          </w:p>
        </w:tc>
        <w:tc>
          <w:tcPr>
            <w:tcW w:w="5102" w:type="dxa"/>
            <w:vAlign w:val="center"/>
          </w:tcPr>
          <w:p w14:paraId="04171B48">
            <w:pPr>
              <w:jc w:val="left"/>
            </w:pPr>
            <w:r>
              <w:rPr>
                <w:rFonts w:ascii="Times New Roman" w:hAnsi="Times New Roman" w:eastAsia="宋体"/>
                <w:b w:val="0"/>
                <w:sz w:val="21"/>
              </w:rPr>
              <w:t>R2 + 置信度分层输出与低置信度保守回答策略</w:t>
            </w:r>
          </w:p>
        </w:tc>
        <w:tc>
          <w:tcPr>
            <w:tcW w:w="2268" w:type="dxa"/>
            <w:vAlign w:val="center"/>
          </w:tcPr>
          <w:p w14:paraId="2312CD87">
            <w:pPr>
              <w:jc w:val="left"/>
            </w:pPr>
            <w:r>
              <w:rPr>
                <w:rFonts w:ascii="Times New Roman" w:hAnsi="Times New Roman" w:eastAsia="宋体"/>
                <w:b w:val="0"/>
                <w:sz w:val="21"/>
              </w:rPr>
              <w:t>需补充回答层评测流程</w:t>
            </w:r>
          </w:p>
        </w:tc>
      </w:tr>
    </w:tbl>
    <w:p w14:paraId="09034B83"/>
    <w:p w14:paraId="0C4A45F1">
      <w:r>
        <w:rPr>
          <w:rFonts w:ascii="Times New Roman" w:hAnsi="Times New Roman" w:eastAsia="宋体"/>
        </w:rPr>
        <w:t>主要自变量包括检索链路类型、candidate_top_k、final_top_k、是否启用置信度分层以及文档集合范围。控制变量包括统一知识源、统一索引版本、统一大模型版本与温度、统一问题集合和统一评测口径。</w:t>
      </w:r>
    </w:p>
    <w:p w14:paraId="54C650AB">
      <w:pPr>
        <w:pStyle w:val="4"/>
      </w:pPr>
      <w:r>
        <w:rPr>
          <w:rFonts w:ascii="Times New Roman" w:hAnsi="Times New Roman" w:eastAsia="宋体"/>
        </w:rPr>
        <w:t>7.3 Agent 模块实验设计</w:t>
      </w:r>
    </w:p>
    <w:p w14:paraId="12EA7DB3">
      <w:r>
        <w:rPr>
          <w:rFonts w:ascii="Times New Roman" w:hAnsi="Times New Roman" w:eastAsia="宋体"/>
        </w:rPr>
        <w:t>由于当前 MCP 服务默认返回模拟数据，Agent 模块实验不宜直接以在线真实系统作为主实验环境。为保证可重复性，应构建固定案例回放数据集。每个案例至少包含 case_id、task_text、service_name、alert_payload、metrics_payload、logs_payload、historical_ticket_payload、gold_root_cause、gold_evidence 和 gold_recommendation。正式实验建议至少构建 30 个标准化案例，覆盖 CPU 异常、内存异常、磁盘或 I/O 异常、服务不可用或频繁重启、响应延迟显著上升等类型。</w:t>
      </w:r>
    </w:p>
    <w:tbl>
      <w:tblPr>
        <w:tblStyle w:val="34"/>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autofit"/>
        <w:tblCellMar>
          <w:top w:w="0" w:type="dxa"/>
          <w:left w:w="108" w:type="dxa"/>
          <w:bottom w:w="0" w:type="dxa"/>
          <w:right w:w="108" w:type="dxa"/>
        </w:tblCellMar>
      </w:tblPr>
      <w:tblGrid>
        <w:gridCol w:w="1134"/>
        <w:gridCol w:w="5102"/>
        <w:gridCol w:w="2268"/>
      </w:tblGrid>
      <w:tr w14:paraId="39095F9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shd w:val="clear" w:color="auto" w:fill="D9EAF7"/>
            <w:vAlign w:val="center"/>
          </w:tcPr>
          <w:p w14:paraId="7C67DD5A">
            <w:pPr>
              <w:jc w:val="center"/>
            </w:pPr>
            <w:r>
              <w:rPr>
                <w:rFonts w:ascii="Times New Roman" w:hAnsi="Times New Roman" w:eastAsia="宋体"/>
                <w:b/>
                <w:sz w:val="21"/>
              </w:rPr>
              <w:t>组别</w:t>
            </w:r>
          </w:p>
        </w:tc>
        <w:tc>
          <w:tcPr>
            <w:tcW w:w="5102" w:type="dxa"/>
            <w:shd w:val="clear" w:color="auto" w:fill="D9EAF7"/>
            <w:vAlign w:val="center"/>
          </w:tcPr>
          <w:p w14:paraId="0B7FC686">
            <w:pPr>
              <w:jc w:val="center"/>
            </w:pPr>
            <w:r>
              <w:rPr>
                <w:rFonts w:ascii="Times New Roman" w:hAnsi="Times New Roman" w:eastAsia="宋体"/>
                <w:b/>
                <w:sz w:val="21"/>
              </w:rPr>
              <w:t>描述</w:t>
            </w:r>
          </w:p>
        </w:tc>
        <w:tc>
          <w:tcPr>
            <w:tcW w:w="2268" w:type="dxa"/>
            <w:shd w:val="clear" w:color="auto" w:fill="D9EAF7"/>
            <w:vAlign w:val="center"/>
          </w:tcPr>
          <w:p w14:paraId="1E9B25E1">
            <w:pPr>
              <w:jc w:val="center"/>
            </w:pPr>
            <w:r>
              <w:rPr>
                <w:rFonts w:ascii="Times New Roman" w:hAnsi="Times New Roman" w:eastAsia="宋体"/>
                <w:b/>
                <w:sz w:val="21"/>
              </w:rPr>
              <w:t>当前状态</w:t>
            </w:r>
          </w:p>
        </w:tc>
      </w:tr>
      <w:tr w14:paraId="2949C8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49605794">
            <w:pPr>
              <w:jc w:val="left"/>
            </w:pPr>
            <w:r>
              <w:rPr>
                <w:rFonts w:ascii="Times New Roman" w:hAnsi="Times New Roman" w:eastAsia="宋体"/>
                <w:b w:val="0"/>
                <w:sz w:val="21"/>
              </w:rPr>
              <w:t>A0</w:t>
            </w:r>
          </w:p>
        </w:tc>
        <w:tc>
          <w:tcPr>
            <w:tcW w:w="5102" w:type="dxa"/>
            <w:vAlign w:val="center"/>
          </w:tcPr>
          <w:p w14:paraId="691B4624">
            <w:pPr>
              <w:jc w:val="left"/>
            </w:pPr>
            <w:r>
              <w:rPr>
                <w:rFonts w:ascii="Times New Roman" w:hAnsi="Times New Roman" w:eastAsia="宋体"/>
                <w:b w:val="0"/>
                <w:sz w:val="21"/>
              </w:rPr>
              <w:t>直接生成式基线，仅输入故障任务，不调用工具</w:t>
            </w:r>
          </w:p>
        </w:tc>
        <w:tc>
          <w:tcPr>
            <w:tcW w:w="2268" w:type="dxa"/>
            <w:vAlign w:val="center"/>
          </w:tcPr>
          <w:p w14:paraId="130378C8">
            <w:pPr>
              <w:jc w:val="left"/>
            </w:pPr>
            <w:r>
              <w:rPr>
                <w:rFonts w:ascii="Times New Roman" w:hAnsi="Times New Roman" w:eastAsia="宋体"/>
                <w:b w:val="0"/>
                <w:sz w:val="21"/>
              </w:rPr>
              <w:t>需补充实现</w:t>
            </w:r>
          </w:p>
        </w:tc>
      </w:tr>
      <w:tr w14:paraId="1635636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3A3C896E">
            <w:pPr>
              <w:jc w:val="left"/>
            </w:pPr>
            <w:r>
              <w:rPr>
                <w:rFonts w:ascii="Times New Roman" w:hAnsi="Times New Roman" w:eastAsia="宋体"/>
                <w:b w:val="0"/>
                <w:sz w:val="21"/>
              </w:rPr>
              <w:t>A1</w:t>
            </w:r>
          </w:p>
        </w:tc>
        <w:tc>
          <w:tcPr>
            <w:tcW w:w="5102" w:type="dxa"/>
            <w:vAlign w:val="center"/>
          </w:tcPr>
          <w:p w14:paraId="7811999E">
            <w:pPr>
              <w:jc w:val="left"/>
            </w:pPr>
            <w:r>
              <w:rPr>
                <w:rFonts w:ascii="Times New Roman" w:hAnsi="Times New Roman" w:eastAsia="宋体"/>
                <w:b w:val="0"/>
                <w:sz w:val="21"/>
              </w:rPr>
              <w:t>单循环工具调用基线，参考 ReAct 风格，不显式重规划</w:t>
            </w:r>
          </w:p>
        </w:tc>
        <w:tc>
          <w:tcPr>
            <w:tcW w:w="2268" w:type="dxa"/>
            <w:vAlign w:val="center"/>
          </w:tcPr>
          <w:p w14:paraId="1029F0FB">
            <w:pPr>
              <w:jc w:val="left"/>
            </w:pPr>
            <w:r>
              <w:rPr>
                <w:rFonts w:ascii="Times New Roman" w:hAnsi="Times New Roman" w:eastAsia="宋体"/>
                <w:b w:val="0"/>
                <w:sz w:val="21"/>
              </w:rPr>
              <w:t>需补充实现</w:t>
            </w:r>
          </w:p>
        </w:tc>
      </w:tr>
      <w:tr w14:paraId="2813F5C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25E5AF4B">
            <w:pPr>
              <w:jc w:val="left"/>
            </w:pPr>
            <w:r>
              <w:rPr>
                <w:rFonts w:ascii="Times New Roman" w:hAnsi="Times New Roman" w:eastAsia="宋体"/>
                <w:b w:val="0"/>
                <w:sz w:val="21"/>
              </w:rPr>
              <w:t>A2</w:t>
            </w:r>
          </w:p>
        </w:tc>
        <w:tc>
          <w:tcPr>
            <w:tcW w:w="5102" w:type="dxa"/>
            <w:vAlign w:val="center"/>
          </w:tcPr>
          <w:p w14:paraId="6AD07AAD">
            <w:pPr>
              <w:jc w:val="left"/>
            </w:pPr>
            <w:r>
              <w:rPr>
                <w:rFonts w:ascii="Times New Roman" w:hAnsi="Times New Roman" w:eastAsia="宋体"/>
                <w:b w:val="0"/>
                <w:sz w:val="21"/>
              </w:rPr>
              <w:t>当前 Plan-Execute-Replan Agent，不额外引入 RAG 经验上下文</w:t>
            </w:r>
          </w:p>
        </w:tc>
        <w:tc>
          <w:tcPr>
            <w:tcW w:w="2268" w:type="dxa"/>
            <w:vAlign w:val="center"/>
          </w:tcPr>
          <w:p w14:paraId="2A46E47B">
            <w:pPr>
              <w:jc w:val="left"/>
            </w:pPr>
            <w:r>
              <w:rPr>
                <w:rFonts w:ascii="Times New Roman" w:hAnsi="Times New Roman" w:eastAsia="宋体"/>
                <w:b w:val="0"/>
                <w:sz w:val="21"/>
              </w:rPr>
              <w:t>需补充知识检索开关</w:t>
            </w:r>
          </w:p>
        </w:tc>
      </w:tr>
      <w:tr w14:paraId="36EB5C1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0" w:type="dxa"/>
            <w:left w:w="108" w:type="dxa"/>
            <w:bottom w:w="0" w:type="dxa"/>
            <w:right w:w="108" w:type="dxa"/>
          </w:tblCellMar>
        </w:tblPrEx>
        <w:trPr>
          <w:jc w:val="center"/>
        </w:trPr>
        <w:tc>
          <w:tcPr>
            <w:tcW w:w="1134" w:type="dxa"/>
            <w:vAlign w:val="center"/>
          </w:tcPr>
          <w:p w14:paraId="70415490">
            <w:pPr>
              <w:jc w:val="left"/>
            </w:pPr>
            <w:r>
              <w:rPr>
                <w:rFonts w:ascii="Times New Roman" w:hAnsi="Times New Roman" w:eastAsia="宋体"/>
                <w:b w:val="0"/>
                <w:sz w:val="21"/>
              </w:rPr>
              <w:t>A3</w:t>
            </w:r>
          </w:p>
        </w:tc>
        <w:tc>
          <w:tcPr>
            <w:tcW w:w="5102" w:type="dxa"/>
            <w:vAlign w:val="center"/>
          </w:tcPr>
          <w:p w14:paraId="3E7EAB75">
            <w:pPr>
              <w:jc w:val="left"/>
            </w:pPr>
            <w:r>
              <w:rPr>
                <w:rFonts w:ascii="Times New Roman" w:hAnsi="Times New Roman" w:eastAsia="宋体"/>
                <w:b w:val="0"/>
                <w:sz w:val="21"/>
              </w:rPr>
              <w:t>当前 Plan-Execute-Replan Agent，并在规划阶段引入 RAG 经验上下文</w:t>
            </w:r>
          </w:p>
        </w:tc>
        <w:tc>
          <w:tcPr>
            <w:tcW w:w="2268" w:type="dxa"/>
            <w:vAlign w:val="center"/>
          </w:tcPr>
          <w:p w14:paraId="63D9F625">
            <w:pPr>
              <w:jc w:val="left"/>
            </w:pPr>
            <w:r>
              <w:rPr>
                <w:rFonts w:ascii="Times New Roman" w:hAnsi="Times New Roman" w:eastAsia="宋体"/>
                <w:b w:val="0"/>
                <w:sz w:val="21"/>
              </w:rPr>
              <w:t>与当前设计最接近</w:t>
            </w:r>
          </w:p>
        </w:tc>
      </w:tr>
    </w:tbl>
    <w:p w14:paraId="7AE6BA0E"/>
    <w:p w14:paraId="10515437">
      <w:r>
        <w:rPr>
          <w:rFonts w:ascii="Times New Roman" w:hAnsi="Times New Roman" w:eastAsia="宋体"/>
        </w:rPr>
        <w:t>Agent 实验的结果质量指标包括 Root Cause Accuracy、Evidence Completeness、Recommendation Actionability 和 Task Success Rate；过程成本指标包括 Tool Calls、Executed Steps、Replan Count 和 Latency。结果质量通常需要人工评分，建议由两名具备设备维修或运维背景的标注者独立评分，并计算 Cohen's kappa 或加权 kappa。</w:t>
      </w:r>
    </w:p>
    <w:p w14:paraId="45329C1A">
      <w:pPr>
        <w:pStyle w:val="4"/>
      </w:pPr>
      <w:r>
        <w:rPr>
          <w:rFonts w:ascii="Times New Roman" w:hAnsi="Times New Roman" w:eastAsia="宋体"/>
        </w:rPr>
        <w:t>7.4 统计分析方法</w:t>
      </w:r>
    </w:p>
    <w:p w14:paraId="5D9D8C2A">
      <w:r>
        <w:rPr>
          <w:rFonts w:ascii="Times New Roman" w:hAnsi="Times New Roman" w:eastAsia="宋体"/>
        </w:rPr>
        <w:t>对 RAG 检索实验，Recall@k 和 Hit Rate 等二值指标可采用配对 Bootstrap 置信区间估计，MRR 等排序指标报告均值及 95% 置信区间，不同检索链路之间可采用随机置换检验或配对 Bootstrap 差异检验。对 Agent 实验，Root Cause Accuracy 和 Task Success Rate 可采用 McNemar 检验，Evidence Completeness 和 Recommendation Actionability 可采用 Wilcoxon 符号秩检验，Latency、Tool Calls 和 Executed Steps 可报告均值、标准差与中位数，并结合配对 t 检验或 Wilcoxon 检验。若同一章节中存在多次显著性检验，应采用 Holm-Bonferroni 方法进行多重比较校正。</w:t>
      </w:r>
    </w:p>
    <w:p w14:paraId="62EE8596">
      <w:pPr>
        <w:pStyle w:val="3"/>
      </w:pPr>
      <w:r>
        <w:rPr>
          <w:rFonts w:ascii="Times New Roman" w:hAnsi="Times New Roman" w:eastAsia="宋体"/>
        </w:rPr>
        <w:t>第 8 章 结论与展望</w:t>
      </w:r>
    </w:p>
    <w:p w14:paraId="32809F99">
      <w:pPr>
        <w:pStyle w:val="4"/>
      </w:pPr>
      <w:r>
        <w:rPr>
          <w:rFonts w:ascii="Times New Roman" w:hAnsi="Times New Roman" w:eastAsia="宋体"/>
        </w:rPr>
        <w:t>8.1 研究结论</w:t>
      </w:r>
    </w:p>
    <w:p w14:paraId="618BD3CA">
      <w:r>
        <w:rPr>
          <w:rFonts w:ascii="Times New Roman" w:hAnsi="Times New Roman" w:eastAsia="宋体"/>
        </w:rPr>
        <w:t>本文围绕机器故障排查场景，设计并整理了一个结合 RAG 知识问答与 Plan-Execute-Replan Agent 诊断的论文 demo。根据当前实现，系统最扎实的主线不是单纯“使用 Agent”，而是构建了一个可解释、可检索、可审计、可修订的运维知识系统原型。RAG 模块已经具备较完整的实验基础，适合作为论文定量验证重点；AIOps Agent 则体现了知识检索与工具调用结合的扩展能力，适合作为诊断流程原型和后续对比实验基础。</w:t>
      </w:r>
    </w:p>
    <w:p w14:paraId="71010799">
      <w:r>
        <w:rPr>
          <w:rFonts w:ascii="Times New Roman" w:hAnsi="Times New Roman" w:eastAsia="宋体"/>
        </w:rPr>
        <w:t>新版论文应重点强调三点：第一，面向运维文档的结构化混合检索架构；第二，基于检索置信度的回答策略分级与低置信知识闭环；第三，知识检索与工具调用结合的 Plan-Execute-Replan Agent 原型。同时，论文应明确当前 MCP 数据源仍为模拟服务、PDF 解析不支持 OCR、会话记忆尚未持久化等边界，使结论真实可信。</w:t>
      </w:r>
    </w:p>
    <w:sectPr>
      <w:footerReference r:id="rId5" w:type="default"/>
      <w:pgSz w:w="12240" w:h="15840"/>
      <w:pgMar w:top="1440" w:right="1474"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EF47C">
    <w:pPr>
      <w:pStyle w:val="24"/>
      <w:jc w:val="center"/>
    </w:pPr>
    <w:r>
      <w:rPr>
        <w:rFonts w:ascii="Times New Roman" w:hAnsi="Times New Roman" w:eastAsia="宋体"/>
        <w:sz w:val="18"/>
      </w:rPr>
      <w:t>SuperBizAgent 论文 demo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5564DD"/>
    <w:rsid w:val="471342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9"/>
    <w:qFormat/>
    <w:uiPriority w:val="9"/>
    <w:pPr>
      <w:keepNext/>
      <w:keepLines/>
      <w:spacing w:before="360" w:after="160" w:line="360"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after="120" w:line="360"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1"/>
    <w:unhideWhenUsed/>
    <w:qFormat/>
    <w:uiPriority w:val="9"/>
    <w:pPr>
      <w:keepNext/>
      <w:keepLines/>
      <w:spacing w:before="160" w:after="80" w:line="36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0" w:line="324" w:lineRule="auto"/>
      <w:contextualSpacing/>
    </w:pPr>
    <w:rPr>
      <w:rFonts w:ascii="Times New Roman" w:hAnsi="Times New Roman" w:eastAsia="宋体"/>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0" w:line="324" w:lineRule="auto"/>
      <w:contextualSpacing/>
    </w:pPr>
    <w:rPr>
      <w:rFonts w:ascii="Times New Roman" w:hAnsi="Times New Roman" w:eastAsia="宋体"/>
      <w:sz w:val="21"/>
    </w:r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before="240" w:after="240" w:line="360" w:lineRule="auto"/>
      <w:contextualSpacing/>
      <w:jc w:val="center"/>
    </w:pPr>
    <w:rPr>
      <w:rFonts w:asciiTheme="majorHAnsi" w:hAnsiTheme="majorHAnsi" w:eastAsiaTheme="majorEastAsia" w:cstheme="majorBidi"/>
      <w:b/>
      <w:color w:val="000000"/>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pPr>
      <w:spacing w:line="324" w:lineRule="auto"/>
      <w:ind w:left="420" w:right="113" w:firstLine="0"/>
    </w:pPr>
    <w:rPr>
      <w:rFonts w:ascii="Times New Roman" w:hAnsi="Times New Roman" w:eastAsia="仿宋"/>
      <w:i/>
      <w:iCs/>
      <w:color w:val="000000" w:themeColor="text1"/>
      <w:sz w:val="2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2652</Words>
  <Characters>3937</Characters>
  <Lines>0</Lines>
  <Paragraphs>0</Paragraphs>
  <TotalTime>40</TotalTime>
  <ScaleCrop>false</ScaleCrop>
  <LinksUpToDate>false</LinksUpToDate>
  <CharactersWithSpaces>4200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风过℡花落</cp:lastModifiedBy>
  <dcterms:modified xsi:type="dcterms:W3CDTF">2026-04-30T08:30:28Z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eyJoZGlkIjoiMzZiNmE2YzVmNDI5ZDg1MTRiYTlhMzA5MTA5NDIzZTQiLCJ1c2VySWQiOiIzNzc0MzQzMDIifQ==</vt:lpwstr>
  </property>
  <property fmtid="{D5CDD505-2E9C-101B-9397-08002B2CF9AE}" pid="3" name="KSOProductBuildVer">
    <vt:lpwstr>2052-12.1.0.25225</vt:lpwstr>
  </property>
  <property fmtid="{D5CDD505-2E9C-101B-9397-08002B2CF9AE}" pid="4" name="ICV">
    <vt:lpwstr>52C020FC2FC942B68D006E9181E763D9_12</vt:lpwstr>
  </property>
</Properties>
</file>