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color w:val="000000"/>
        </w:rPr>
        <w:t>✅ 成稿已生成：本目录 3-源代码鉴别材料-成稿.docx（35 个自有 .ts 文件，按下表顺序拼接，前 30 页 + 后 30 页，共 60 页，9 磅等宽字体）。⚠ 源程序量请填 7626 行：Windows PowerShell 5.1 的 Get-Content | Measure-Object -Line 对 LF（Unix）换行的文件会少算，请勿采用；按字节级换行统计，35 个文件实际共 7626 行。</w:t>
      </w:r>
    </w:p>
    <w:p>
      <w:pPr>
        <w:spacing w:after="100" w:before="200"/>
        <w:jc w:val="center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源代码鉴别材料（cat-shop 项目定制版）</w:t>
      </w:r>
    </w:p>
    <w:p>
      <w:pPr>
        <w:spacing w:after="100"/>
      </w:pPr>
      <w:r>
        <w:rPr>
          <w:i/>
          <w:iCs/>
          <w:color w:val="1F5AA8"/>
        </w:rPr>
        <w:t xml:space="preserve">【本页及下表为拼接指引，定稿时删除，正文只保留代码】我已按你工程的真实结构排好拼接顺序（共 35 个自有 .ts 文件，从数据定义到工具类，逻辑上从底层到上层）。注意：types/tt.d.ts 是抖音平台 API 类型声明文件，不属于你的原创代码，已排除，不要放入。</w:t>
      </w:r>
    </w:p>
    <w:p>
      <w:pPr>
        <w:pStyle w:val="Heading2"/>
      </w:pPr>
      <w:r>
        <w:t xml:space="preserve">代码拼接顺序（按工程实际文件）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326"/>
      </w:tblGrid>
      <w:t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顺序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63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shd w:fill="E8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文件（assets/scenes/scripts/ 下）</w:t>
            </w:r>
          </w:p>
        </w:tc>
      </w:tr>
      <w:t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数据定义</w:t>
            </w:r>
          </w:p>
        </w:tc>
        <w:tc>
          <w:tcPr>
            <w:tcW w:type="dxa" w:w="63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data/GameTypes.ts、data/GameState.ts、data/DessertConfig.ts</w:t>
            </w:r>
          </w:p>
        </w:tc>
      </w:tr>
      <w:t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核心玩法</w:t>
            </w:r>
          </w:p>
        </w:tc>
        <w:tc>
          <w:tcPr>
            <w:tcW w:type="dxa" w:w="63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core/Container.ts、core/Dessert.ts、core/DropController.ts、core/MergeManager.ts、core/OverflowDetector.ts、core/ScoreManager.ts、core/ItemManager.ts、core/CustomerManager.ts</w:t>
            </w:r>
          </w:p>
        </w:tc>
      </w:tr>
      <w:t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界面场景</w:t>
            </w:r>
          </w:p>
        </w:tc>
        <w:tc>
          <w:tcPr>
            <w:tcW w:type="dxa" w:w="63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ui/LoadingScene.ts、ui/HomeScene.ts、ui/GameScene.ts、ui/RankScene.ts、ui/SettingsScene.ts、ui/DesignTokens.ts、ui/GlobalFontManager.ts、ui/PopupManager.ts</w:t>
            </w:r>
          </w:p>
        </w:tc>
      </w:tr>
      <w:t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弹窗</w:t>
            </w:r>
          </w:p>
        </w:tc>
        <w:tc>
          <w:tcPr>
            <w:tcW w:type="dxa" w:w="63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ui/popups/PopupUIHelper.ts、ui/popups/WinPopup.ts、ui/popups/FailPopup.ts、ui/popups/PausePopup.ts、ui/popups/DailyGiftPopup.ts、ui/popups/RankPopup.ts、ui/popups/SettingsPopup.ts</w:t>
            </w:r>
          </w:p>
        </w:tc>
      </w:tr>
      <w:t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平台接入</w:t>
            </w:r>
          </w:p>
        </w:tc>
        <w:tc>
          <w:tcPr>
            <w:tcW w:type="dxa" w:w="63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platform/DouyinSDK.ts、platform/SafeArea.ts、platform/AdConfig.ts</w:t>
            </w:r>
          </w:p>
        </w:tc>
      </w:tr>
      <w:t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网络</w:t>
            </w:r>
          </w:p>
        </w:tc>
        <w:tc>
          <w:tcPr>
            <w:tcW w:type="dxa" w:w="63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net/ApiConfig.ts、net/ApiTypes.ts、net/ApiClient.ts</w:t>
            </w:r>
          </w:p>
        </w:tc>
      </w:tr>
      <w:tr>
        <w:tc>
          <w:tcPr>
            <w:tcW w:type="dxa" w:w="9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800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工具</w:t>
            </w:r>
          </w:p>
        </w:tc>
        <w:tc>
          <w:tcPr>
            <w:tcW w:type="dxa" w:w="6326"/>
            <w:tcBorders>
              <w:top w:val="single" w:color="888888" w:sz="2"/>
              <w:left w:val="single" w:color="888888" w:sz="2"/>
              <w:bottom w:val="single" w:color="888888" w:sz="2"/>
              <w:right w:val="single" w:color="888888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utils/AudioManager.ts、utils/Toast.ts、utils/TouchSpace.ts</w:t>
            </w:r>
          </w:p>
        </w:tc>
      </w:tr>
    </w:tbl>
    <w:p>
      <w:pPr>
        <w:pStyle w:val="Heading2"/>
      </w:pPr>
      <w:r>
        <w:t xml:space="preserve">排版与内容规范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1F5AA8"/>
        </w:rPr>
        <w:t xml:space="preserve">每页不少于 50 行（9 磅等宽字体、单倍行距即可达到）；提交前、后各连续 30 页，总量不足 60 页则全部提交。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1F5AA8"/>
        </w:rPr>
        <w:t xml:space="preserve">文件之间用一行注释分隔：// ===== core/MergeManager.ts =====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1F5AA8"/>
        </w:rPr>
        <w:t xml:space="preserve">粘贴前检查代码注释：不得出现他人姓名、公司名、开源版权头、晚于开发完成日期的日期。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  <w:color w:val="1F5AA8"/>
        </w:rPr>
        <w:t xml:space="preserve">统计总行数填入申请表“源程序量”。在工程目录执行（PowerShell）：(Get-ChildItem assets/scenes/scripts -Recurse -Filter *.ts | Where-Object Name -ne 'tt.d.ts' | Get-Content | Measure-Object -Line).Lines</w:t>
      </w:r>
    </w:p>
    <w:p>
      <w:pPr>
        <w:spacing w:after="100"/>
      </w:pPr>
      <w:r>
        <w:rPr>
          <w:i/>
          <w:iCs/>
          <w:color w:val="1F5AA8"/>
        </w:rPr>
        <w:t xml:space="preserve">【MCP 通道读不到你的代码文本（脚本执行器未注册）。两个办法任选：① 把 assets/scenes/scripts 目录打包成 zip 发到对话里，我直接帮你拼好完整成稿；② 你按上表顺序自行粘贴】</w:t>
      </w:r>
    </w:p>
    <w:p>
      <w:pPr>
        <w:spacing w:after="100"/>
      </w:pPr>
      <w:r>
        <w:rPr>
          <w:b/>
          <w:bCs/>
          <w:color w:val="C00000"/>
        </w:rPr>
        <w:t xml:space="preserve">【从此处开始按上表顺序粘贴源代码，第一行应为 data/GameTypes.ts 的开头】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// ===== data/GameTypes.ts =====</w:t>
      </w:r>
    </w:p>
    <w:sectPr>
      <w:headerReference w:type="default" r:id="rId7"/>
      <w:footerReference w:type="default" r:id="rId9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4" w:space="1"/>
      </w:pBdr>
      <w:tabs>
        <w:tab w:val="right" w:pos="9026"/>
      </w:tabs>
    </w:pPr>
    <w:r>
      <w:rPr>
        <w:sz w:val="18"/>
        <w:szCs w:val="18"/>
      </w:rPr>
      <w:t>一起开猫店软件 源程序</w:t>
    </w:r>
    <w:r>
      <w:rPr>
        <w:sz w:val="18"/>
        <w:szCs w:val="18"/>
      </w:rPr>
      <w:t xml:space="preserve">	</w:t>
    </w:r>
    <w:r>
      <w:rPr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SimHei" w:cs="SimHei" w:eastAsia="SimHei" w:hAnsi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SimHei" w:cs="SimHei" w:eastAsia="SimHei" w:hAnsi="Sim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SimHei" w:cs="SimHei" w:eastAsia="SimHei" w:hAnsi="SimHei"/>
      <w:b/>
      <w:bCs/>
      <w:color w:val="00000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2026-06-12T17:25:23.950Z</dcterms:created>
  <dcterms:modified xsi:type="dcterms:W3CDTF">2026-06-12T17:25:23.950Z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