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weekly-check-in-friday-25-september-2026"/>
    <w:p>
      <w:pPr>
        <w:pStyle w:val="Heading1"/>
        <w:spacing w:before="240" w:after="80"/>
      </w:pPr>
      <w:r>
        <w:rPr>
          <w:rFonts w:ascii="Times New Roman" w:hAnsi="Times New Roman" w:cs="Times New Roman" w:eastAsia="Times New Roman"/>
          <w:b/>
          <w:i w:val="0"/>
          <w:color w:val="000000"/>
          <w:sz w:val="24"/>
        </w:rPr>
        <w:t xml:space="preserve">Weekly check-in, Friday 25 September 2026</w:t>
      </w:r>
    </w:p>
    <w:p>
      <w:pPr>
        <w:pStyle w:val="FirstParagraph"/>
      </w:pPr>
      <w:r>
        <w:rPr>
          <w:rFonts w:ascii="Times New Roman" w:hAnsi="Times New Roman" w:cs="Times New Roman" w:eastAsia="Times New Roman"/>
          <w:b w:val="0"/>
          <w:i w:val="0"/>
          <w:color w:val="000000"/>
          <w:sz w:val="22"/>
        </w:rPr>
        <w:t xml:space="preserve">Prediction market vs rates futures arbitrage. Sean Trew and Nathan Yang, with Richard Howes.</w:t>
      </w:r>
    </w:p>
    <w:bookmarkStart w:id="20" w:name="where-we-are"/>
    <w:p>
      <w:pPr>
        <w:pStyle w:val="Heading2"/>
        <w:spacing w:before="240" w:after="80"/>
      </w:pPr>
      <w:r>
        <w:rPr>
          <w:rFonts w:ascii="Times New Roman" w:hAnsi="Times New Roman" w:cs="Times New Roman" w:eastAsia="Times New Roman"/>
          <w:b/>
          <w:i w:val="0"/>
          <w:color w:val="000000"/>
          <w:sz w:val="22"/>
        </w:rPr>
        <w:t xml:space="preserve">Where we are</w:t>
      </w:r>
    </w:p>
    <w:p>
      <w:pPr>
        <w:numPr>
          <w:ilvl w:val="0"/>
          <w:numId w:val="1001"/>
        </w:numPr>
        <w:pStyle w:val="Compact"/>
      </w:pPr>
      <w:r>
        <w:rPr>
          <w:rFonts w:ascii="Times New Roman" w:hAnsi="Times New Roman" w:cs="Times New Roman" w:eastAsia="Times New Roman"/>
          <w:b w:val="0"/>
          <w:i w:val="0"/>
          <w:color w:val="000000"/>
          <w:sz w:val="22"/>
        </w:rPr>
        <w:t xml:space="preserve">The method is settled. Both markets are expressed as the probability-weighted expected move in bp at each FOMC meeting, and the signal is the daily gap between the futures-implied move and the Kalshi-implied move over the 60 days before each of the 26 meetings from May 2023 to June 2026.</w:t>
      </w:r>
    </w:p>
    <w:p>
      <w:pPr>
        <w:numPr>
          <w:ilvl w:val="0"/>
          <w:numId w:val="1001"/>
        </w:numPr>
        <w:pStyle w:val="Compact"/>
      </w:pPr>
      <w:r>
        <w:rPr>
          <w:rFonts w:ascii="Times New Roman" w:hAnsi="Times New Roman" w:cs="Times New Roman" w:eastAsia="Times New Roman"/>
          <w:b w:val="0"/>
          <w:i w:val="0"/>
          <w:color w:val="000000"/>
          <w:sz w:val="22"/>
        </w:rPr>
        <w:t xml:space="preserve">The pipeline exists (FRED, Kalshi candlesticks for every outcome, per-month ZQ from TradingView) and works on the May 2023 example. The full 26-meeting run has not completed yet, so we do not have the spread distribution.</w:t>
      </w:r>
    </w:p>
    <w:p>
      <w:pPr>
        <w:numPr>
          <w:ilvl w:val="0"/>
          <w:numId w:val="1001"/>
        </w:numPr>
        <w:pStyle w:val="Compact"/>
      </w:pPr>
      <w:r>
        <w:rPr>
          <w:rFonts w:ascii="Times New Roman" w:hAnsi="Times New Roman" w:cs="Times New Roman" w:eastAsia="Times New Roman"/>
          <w:b w:val="0"/>
          <w:i w:val="0"/>
          <w:color w:val="000000"/>
          <w:sz w:val="22"/>
        </w:rPr>
        <w:t xml:space="preserve">This week we stopped to get organised. We now have a project context document, a definition of done for the current stage, and a written trade and cost memo that answers last week’s question about what the trade is.</w:t>
      </w:r>
    </w:p>
    <w:bookmarkEnd w:id="20"/>
    <w:bookmarkStart w:id="21" w:name="the-plan-two-stages"/>
    <w:p>
      <w:pPr>
        <w:pStyle w:val="Heading2"/>
        <w:spacing w:before="240" w:after="80"/>
      </w:pPr>
      <w:r>
        <w:rPr>
          <w:rFonts w:ascii="Times New Roman" w:hAnsi="Times New Roman" w:cs="Times New Roman" w:eastAsia="Times New Roman"/>
          <w:b/>
          <w:i w:val="0"/>
          <w:color w:val="000000"/>
          <w:sz w:val="22"/>
        </w:rPr>
        <w:t xml:space="preserve">The plan: two stages</w:t>
      </w:r>
    </w:p>
    <w:p>
      <w:pPr>
        <w:pStyle w:val="FirstParagraph"/>
      </w:pPr>
      <w:r>
        <w:rPr>
          <w:bCs/>
          <w:rFonts w:ascii="Times New Roman" w:hAnsi="Times New Roman" w:cs="Times New Roman" w:eastAsia="Times New Roman"/>
          <w:b/>
          <w:i w:val="0"/>
          <w:color w:val="000000"/>
          <w:sz w:val="22"/>
        </w:rPr>
        <w:t xml:space="preserve">Stage 1. Get the Kalshi vs ZQ arb fully working.</w:t>
      </w:r>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 xml:space="preserve">The idea is simple, so the bar is on execution: reproducible code, cached data, correct formulas, all 26 meetings, convergence and lead/lag tests, written trade rules, fees, net P&amp;L with an out-of-sample split, and a live monitor that runs daily and flags when the rules fire.</w:t>
      </w:r>
    </w:p>
    <w:p>
      <w:pPr>
        <w:pStyle w:val="BodyText"/>
      </w:pPr>
      <w:r>
        <w:rPr>
          <w:bCs/>
          <w:rFonts w:ascii="Times New Roman" w:hAnsi="Times New Roman" w:cs="Times New Roman" w:eastAsia="Times New Roman"/>
          <w:b/>
          <w:i w:val="0"/>
          <w:color w:val="000000"/>
          <w:sz w:val="22"/>
        </w:rPr>
        <w:t xml:space="preserve">Stage 2. Add the reaction function.</w:t>
      </w:r>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 xml:space="preserve">Feed Kalshi’s CPI and unemployment print markets through a calibrated Taylor rule to get a rule-implied expected move and compare it to both markets. This tells us which market is wrong and why, so the Stage 1 trade has direction and conviction. We will not start it until Stage 1 is signed off.</w:t>
      </w:r>
    </w:p>
    <w:bookmarkEnd w:id="21"/>
    <w:bookmarkStart w:id="22" w:name="problems-found-in-review-this-week"/>
    <w:p>
      <w:pPr>
        <w:pStyle w:val="Heading2"/>
        <w:spacing w:before="240" w:after="80"/>
      </w:pPr>
      <w:r>
        <w:rPr>
          <w:rFonts w:ascii="Times New Roman" w:hAnsi="Times New Roman" w:cs="Times New Roman" w:eastAsia="Times New Roman"/>
          <w:b/>
          <w:i w:val="0"/>
          <w:color w:val="000000"/>
          <w:sz w:val="22"/>
        </w:rPr>
        <w:t xml:space="preserve">Problems found in review this week</w:t>
      </w:r>
    </w:p>
    <w:p>
      <w:pPr>
        <w:numPr>
          <w:ilvl w:val="0"/>
          <w:numId w:val="1002"/>
        </w:numPr>
        <w:pStyle w:val="Compact"/>
      </w:pPr>
      <w:r>
        <w:rPr>
          <w:rFonts w:ascii="Times New Roman" w:hAnsi="Times New Roman" w:cs="Times New Roman" w:eastAsia="Times New Roman"/>
          <w:b w:val="0"/>
          <w:i w:val="0"/>
          <w:color w:val="000000"/>
          <w:sz w:val="22"/>
        </w:rPr>
        <w:t xml:space="preserve">The</w:t>
      </w:r>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 xml:space="preserve">“</w:t>
      </w:r>
      <w:r>
        <w:rPr>
          <w:rFonts w:ascii="Times New Roman" w:hAnsi="Times New Roman" w:cs="Times New Roman" w:eastAsia="Times New Roman"/>
          <w:b w:val="0"/>
          <w:i w:val="0"/>
          <w:color w:val="000000"/>
          <w:sz w:val="22"/>
        </w:rPr>
        <w:t xml:space="preserve">&gt;25bp</w:t>
      </w:r>
      <w:r>
        <w:rPr>
          <w:rFonts w:ascii="Times New Roman" w:hAnsi="Times New Roman" w:cs="Times New Roman" w:eastAsia="Times New Roman"/>
          <w:b w:val="0"/>
          <w:i w:val="0"/>
          <w:color w:val="000000"/>
          <w:sz w:val="22"/>
        </w:rPr>
        <w:t xml:space="preserve">”</w:t>
      </w:r>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 xml:space="preserve">buckets were valued at 25 or 26bp. They mean at least 50bp, so the Kalshi expected move understates tail outcomes.</w:t>
      </w:r>
    </w:p>
    <w:p>
      <w:pPr>
        <w:numPr>
          <w:ilvl w:val="0"/>
          <w:numId w:val="1002"/>
        </w:numPr>
        <w:pStyle w:val="Compact"/>
      </w:pPr>
      <w:r>
        <w:rPr>
          <w:rFonts w:ascii="Times New Roman" w:hAnsi="Times New Roman" w:cs="Times New Roman" w:eastAsia="Times New Roman"/>
          <w:b w:val="0"/>
          <w:i w:val="0"/>
          <w:color w:val="000000"/>
          <w:sz w:val="22"/>
        </w:rPr>
        <w:t xml:space="preserve">The day-count treated the meeting day as post-decision. The new rate applies from the day after, so the futures-implied move was out by about 3%.</w:t>
      </w:r>
    </w:p>
    <w:p>
      <w:pPr>
        <w:numPr>
          <w:ilvl w:val="0"/>
          <w:numId w:val="1002"/>
        </w:numPr>
        <w:pStyle w:val="Compact"/>
      </w:pPr>
      <w:r>
        <w:rPr>
          <w:rFonts w:ascii="Times New Roman" w:hAnsi="Times New Roman" w:cs="Times New Roman" w:eastAsia="Times New Roman"/>
          <w:b w:val="0"/>
          <w:i w:val="0"/>
          <w:color w:val="000000"/>
          <w:sz w:val="22"/>
        </w:rPr>
        <w:t xml:space="preserve">Kalshi mids from thin books were being read as prices. We are adding a liquidity filter.</w:t>
      </w:r>
    </w:p>
    <w:p>
      <w:pPr>
        <w:numPr>
          <w:ilvl w:val="0"/>
          <w:numId w:val="1002"/>
        </w:numPr>
        <w:pStyle w:val="Compact"/>
      </w:pPr>
      <w:r>
        <w:rPr>
          <w:rFonts w:ascii="Times New Roman" w:hAnsi="Times New Roman" w:cs="Times New Roman" w:eastAsia="Times New Roman"/>
          <w:b w:val="0"/>
          <w:i w:val="0"/>
          <w:color w:val="000000"/>
          <w:sz w:val="22"/>
        </w:rPr>
        <w:t xml:space="preserve">No costs. Kalshi’s taker fee is 7% of P(1−P) per side. On a 50c contract that is 3.5c round trip, about 1.4bp of expected move once the book spread is included. That sets the entry threshold.</w:t>
      </w:r>
    </w:p>
    <w:bookmarkEnd w:id="22"/>
    <w:bookmarkStart w:id="23" w:name="the-trade-memo-attached"/>
    <w:p>
      <w:pPr>
        <w:pStyle w:val="Heading2"/>
        <w:spacing w:before="240" w:after="80"/>
      </w:pPr>
      <w:r>
        <w:rPr>
          <w:rFonts w:ascii="Times New Roman" w:hAnsi="Times New Roman" w:cs="Times New Roman" w:eastAsia="Times New Roman"/>
          <w:b/>
          <w:i w:val="0"/>
          <w:color w:val="000000"/>
          <w:sz w:val="22"/>
        </w:rPr>
        <w:t xml:space="preserve">The trade (memo attached)</w:t>
      </w:r>
    </w:p>
    <w:p>
      <w:pPr>
        <w:numPr>
          <w:ilvl w:val="0"/>
          <w:numId w:val="1003"/>
        </w:numPr>
        <w:pStyle w:val="Compact"/>
      </w:pPr>
      <w:r>
        <w:rPr>
          <w:bCs/>
          <w:rFonts w:ascii="Times New Roman" w:hAnsi="Times New Roman" w:cs="Times New Roman" w:eastAsia="Times New Roman"/>
          <w:b/>
          <w:i w:val="0"/>
          <w:color w:val="000000"/>
          <w:sz w:val="22"/>
        </w:rPr>
        <w:t xml:space="preserve">A, primary.</w:t>
      </w:r>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 xml:space="preserve">When the gap is wider than about 3bp on a liquid day, buy the Kalshi bucket that futures say is cheap (or sell the one that is rich). Exit when the gap closes inside 1bp, at the day before the meeting, or on a widening stop. Never hold through the decision.</w:t>
      </w:r>
    </w:p>
    <w:p>
      <w:pPr>
        <w:numPr>
          <w:ilvl w:val="0"/>
          <w:numId w:val="1003"/>
        </w:numPr>
        <w:pStyle w:val="Compact"/>
      </w:pPr>
      <w:r>
        <w:rPr>
          <w:bCs/>
          <w:rFonts w:ascii="Times New Roman" w:hAnsi="Times New Roman" w:cs="Times New Roman" w:eastAsia="Times New Roman"/>
          <w:b/>
          <w:i w:val="0"/>
          <w:color w:val="000000"/>
          <w:sz w:val="22"/>
        </w:rPr>
        <w:t xml:space="preserve">B, secondary.</w:t>
      </w:r>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 xml:space="preserve">Same leg held to settlement, hedged with ZQ (about 2 contracts per 1,000 Kalshi contracts at a mid-month meeting).</w:t>
      </w:r>
    </w:p>
    <w:p>
      <w:pPr>
        <w:numPr>
          <w:ilvl w:val="0"/>
          <w:numId w:val="1003"/>
        </w:numPr>
        <w:pStyle w:val="Compact"/>
      </w:pPr>
      <w:r>
        <w:rPr>
          <w:bCs/>
          <w:rFonts w:ascii="Times New Roman" w:hAnsi="Times New Roman" w:cs="Times New Roman" w:eastAsia="Times New Roman"/>
          <w:b/>
          <w:i w:val="0"/>
          <w:color w:val="000000"/>
          <w:sz w:val="22"/>
        </w:rPr>
        <w:t xml:space="preserve">C.</w:t>
      </w:r>
      <w:r>
        <w:rPr>
          <w:rFonts w:ascii="Times New Roman" w:hAnsi="Times New Roman" w:cs="Times New Roman" w:eastAsia="Times New Roman"/>
          <w:b w:val="0"/>
          <w:i w:val="0"/>
          <w:color w:val="000000"/>
          <w:sz w:val="22"/>
        </w:rPr>
        <w:t xml:space="preserve"> </w:t>
      </w:r>
      <w:r>
        <w:rPr>
          <w:rFonts w:ascii="Times New Roman" w:hAnsi="Times New Roman" w:cs="Times New Roman" w:eastAsia="Times New Roman"/>
          <w:b w:val="0"/>
          <w:i w:val="0"/>
          <w:color w:val="000000"/>
          <w:sz w:val="22"/>
        </w:rPr>
        <w:t xml:space="preserve">The Dutch-book check on the full outcome set.</w:t>
      </w:r>
    </w:p>
    <w:bookmarkEnd w:id="23"/>
    <w:bookmarkStart w:id="24" w:name="next-week"/>
    <w:p>
      <w:pPr>
        <w:pStyle w:val="Heading2"/>
        <w:spacing w:before="240" w:after="80"/>
      </w:pPr>
      <w:r>
        <w:rPr>
          <w:rFonts w:ascii="Times New Roman" w:hAnsi="Times New Roman" w:cs="Times New Roman" w:eastAsia="Times New Roman"/>
          <w:b/>
          <w:i w:val="0"/>
          <w:color w:val="000000"/>
          <w:sz w:val="22"/>
        </w:rPr>
        <w:t xml:space="preserve">Next week</w:t>
      </w:r>
    </w:p>
    <w:tbl>
      <w:tblPr>
        <w:tblW w:type="pct" w:w="5000"/>
        <w:tblLook w:firstRow="1" w:lastRow="0" w:firstColumn="0" w:lastColumn="0" w:noHBand="0" w:noVBand="0" w:val="0020"/>
        <w:jc w:val="start"/>
      </w:tblPr>
      <w:tblGrid>
        <w:gridCol w:w="6788"/>
        <w:gridCol w:w="1131"/>
      </w:tblGrid>
      <w:tr>
        <w:trPr>
          <w:tblHeader w:val="true"/>
        </w:trPr>
        <w:tc>
          <w:tcPr/>
          <w:p>
            <w:pPr>
              <w:pStyle w:val="Compact"/>
              <w:spacing w:after="40"/>
              <w:jc w:val="left"/>
            </w:pPr>
            <w:r>
              <w:rPr>
                <w:rFonts w:ascii="Times New Roman" w:hAnsi="Times New Roman" w:cs="Times New Roman" w:eastAsia="Times New Roman"/>
                <w:b/>
                <w:i w:val="0"/>
                <w:color w:val="000000"/>
                <w:sz w:val="22"/>
              </w:rPr>
              <w:t xml:space="preserve">Ticket</w:t>
            </w:r>
          </w:p>
        </w:tc>
        <w:tc>
          <w:tcPr/>
          <w:p>
            <w:pPr>
              <w:pStyle w:val="Compact"/>
              <w:spacing w:after="40"/>
              <w:jc w:val="left"/>
            </w:pPr>
            <w:r>
              <w:rPr>
                <w:rFonts w:ascii="Times New Roman" w:hAnsi="Times New Roman" w:cs="Times New Roman" w:eastAsia="Times New Roman"/>
                <w:b/>
                <w:i w:val="0"/>
                <w:color w:val="000000"/>
                <w:sz w:val="22"/>
              </w:rPr>
              <w:t xml:space="preserve">Owner</w:t>
            </w:r>
          </w:p>
        </w:tc>
      </w:tr>
      <w:tr>
        <w:tc>
          <w:tcPr/>
          <w:p>
            <w:pPr>
              <w:pStyle w:val="Compact"/>
              <w:spacing w:after="40"/>
              <w:jc w:val="left"/>
            </w:pPr>
            <w:r>
              <w:rPr>
                <w:rFonts w:ascii="Times New Roman" w:hAnsi="Times New Roman" w:cs="Times New Roman" w:eastAsia="Times New Roman"/>
                <w:b w:val="0"/>
                <w:i w:val="0"/>
                <w:color w:val="000000"/>
                <w:sz w:val="22"/>
              </w:rPr>
              <w:t xml:space="preserve">Caching for Kalshi, ZQ and FRED pulls</w:t>
            </w:r>
          </w:p>
        </w:tc>
        <w:tc>
          <w:tcPr/>
          <w:p>
            <w:pPr>
              <w:pStyle w:val="Compact"/>
              <w:spacing w:after="40"/>
              <w:jc w:val="left"/>
            </w:pPr>
            <w:r>
              <w:rPr>
                <w:rFonts w:ascii="Times New Roman" w:hAnsi="Times New Roman" w:cs="Times New Roman" w:eastAsia="Times New Roman"/>
                <w:b w:val="0"/>
                <w:i w:val="0"/>
                <w:color w:val="000000"/>
                <w:sz w:val="22"/>
              </w:rPr>
              <w:t xml:space="preserve">Nathan</w:t>
            </w:r>
          </w:p>
        </w:tc>
      </w:tr>
      <w:tr>
        <w:tc>
          <w:tcPr/>
          <w:p>
            <w:pPr>
              <w:pStyle w:val="Compact"/>
              <w:spacing w:after="40"/>
              <w:jc w:val="left"/>
            </w:pPr>
            <w:r>
              <w:rPr>
                <w:rFonts w:ascii="Times New Roman" w:hAnsi="Times New Roman" w:cs="Times New Roman" w:eastAsia="Times New Roman"/>
                <w:b w:val="0"/>
                <w:i w:val="0"/>
                <w:color w:val="000000"/>
                <w:sz w:val="22"/>
              </w:rPr>
              <w:t xml:space="preserve">Formula fixes (threshold buckets, day-count) with unit tests</w:t>
            </w:r>
          </w:p>
        </w:tc>
        <w:tc>
          <w:tcPr/>
          <w:p>
            <w:pPr>
              <w:pStyle w:val="Compact"/>
              <w:spacing w:after="40"/>
              <w:jc w:val="left"/>
            </w:pPr>
            <w:r>
              <w:rPr>
                <w:rFonts w:ascii="Times New Roman" w:hAnsi="Times New Roman" w:cs="Times New Roman" w:eastAsia="Times New Roman"/>
                <w:b w:val="0"/>
                <w:i w:val="0"/>
                <w:color w:val="000000"/>
                <w:sz w:val="22"/>
              </w:rPr>
              <w:t xml:space="preserve">Nathan</w:t>
            </w:r>
          </w:p>
        </w:tc>
      </w:tr>
      <w:tr>
        <w:tc>
          <w:tcPr/>
          <w:p>
            <w:pPr>
              <w:pStyle w:val="Compact"/>
              <w:spacing w:after="40"/>
              <w:jc w:val="left"/>
            </w:pPr>
            <w:r>
              <w:rPr>
                <w:rFonts w:ascii="Times New Roman" w:hAnsi="Times New Roman" w:cs="Times New Roman" w:eastAsia="Times New Roman"/>
                <w:b w:val="0"/>
                <w:i w:val="0"/>
                <w:color w:val="000000"/>
                <w:sz w:val="22"/>
              </w:rPr>
              <w:t xml:space="preserve">Full 26-meeting run to spread_daily.csv</w:t>
            </w:r>
          </w:p>
        </w:tc>
        <w:tc>
          <w:tcPr/>
          <w:p>
            <w:pPr>
              <w:pStyle w:val="Compact"/>
              <w:spacing w:after="40"/>
              <w:jc w:val="left"/>
            </w:pPr>
            <w:r>
              <w:rPr>
                <w:rFonts w:ascii="Times New Roman" w:hAnsi="Times New Roman" w:cs="Times New Roman" w:eastAsia="Times New Roman"/>
                <w:b w:val="0"/>
                <w:i w:val="0"/>
                <w:color w:val="000000"/>
                <w:sz w:val="22"/>
              </w:rPr>
              <w:t xml:space="preserve">Nathan</w:t>
            </w:r>
          </w:p>
        </w:tc>
      </w:tr>
      <w:tr>
        <w:tc>
          <w:tcPr/>
          <w:p>
            <w:pPr>
              <w:pStyle w:val="Compact"/>
              <w:spacing w:after="40"/>
              <w:jc w:val="left"/>
            </w:pPr>
            <w:r>
              <w:rPr>
                <w:rFonts w:ascii="Times New Roman" w:hAnsi="Times New Roman" w:cs="Times New Roman" w:eastAsia="Times New Roman"/>
                <w:b w:val="0"/>
                <w:i w:val="0"/>
                <w:color w:val="000000"/>
                <w:sz w:val="22"/>
              </w:rPr>
              <w:t xml:space="preserve">Liquidity fields and filter</w:t>
            </w:r>
          </w:p>
        </w:tc>
        <w:tc>
          <w:tcPr/>
          <w:p>
            <w:pPr>
              <w:pStyle w:val="Compact"/>
              <w:spacing w:after="40"/>
              <w:jc w:val="left"/>
            </w:pPr>
            <w:r>
              <w:rPr>
                <w:rFonts w:ascii="Times New Roman" w:hAnsi="Times New Roman" w:cs="Times New Roman" w:eastAsia="Times New Roman"/>
                <w:b w:val="0"/>
                <w:i w:val="0"/>
                <w:color w:val="000000"/>
                <w:sz w:val="22"/>
              </w:rPr>
              <w:t xml:space="preserve">Nathan</w:t>
            </w:r>
          </w:p>
        </w:tc>
      </w:tr>
      <w:tr>
        <w:tc>
          <w:tcPr/>
          <w:p>
            <w:pPr>
              <w:pStyle w:val="Compact"/>
              <w:spacing w:after="40"/>
              <w:jc w:val="left"/>
            </w:pPr>
            <w:r>
              <w:rPr>
                <w:rFonts w:ascii="Times New Roman" w:hAnsi="Times New Roman" w:cs="Times New Roman" w:eastAsia="Times New Roman"/>
                <w:b w:val="0"/>
                <w:i w:val="0"/>
                <w:color w:val="000000"/>
                <w:sz w:val="22"/>
              </w:rPr>
              <w:t xml:space="preserve">Spread distribution, convergence and lead/lag analysis</w:t>
            </w:r>
          </w:p>
        </w:tc>
        <w:tc>
          <w:tcPr/>
          <w:p>
            <w:pPr>
              <w:pStyle w:val="Compact"/>
              <w:spacing w:after="40"/>
              <w:jc w:val="left"/>
            </w:pPr>
            <w:r>
              <w:rPr>
                <w:rFonts w:ascii="Times New Roman" w:hAnsi="Times New Roman" w:cs="Times New Roman" w:eastAsia="Times New Roman"/>
                <w:b w:val="0"/>
                <w:i w:val="0"/>
                <w:color w:val="000000"/>
                <w:sz w:val="22"/>
              </w:rPr>
              <w:t xml:space="preserve">Sean</w:t>
            </w:r>
          </w:p>
        </w:tc>
      </w:tr>
      <w:tr>
        <w:tc>
          <w:tcPr/>
          <w:p>
            <w:pPr>
              <w:pStyle w:val="Compact"/>
              <w:spacing w:after="40"/>
              <w:jc w:val="left"/>
            </w:pPr>
            <w:r>
              <w:rPr>
                <w:rFonts w:ascii="Times New Roman" w:hAnsi="Times New Roman" w:cs="Times New Roman" w:eastAsia="Times New Roman"/>
                <w:b w:val="0"/>
                <w:i w:val="0"/>
                <w:color w:val="000000"/>
                <w:sz w:val="22"/>
              </w:rPr>
              <w:t xml:space="preserve">ZQ spot-check against CME settlements</w:t>
            </w:r>
          </w:p>
        </w:tc>
        <w:tc>
          <w:tcPr/>
          <w:p>
            <w:pPr>
              <w:pStyle w:val="Compact"/>
              <w:spacing w:after="40"/>
              <w:jc w:val="left"/>
            </w:pPr>
            <w:r>
              <w:rPr>
                <w:rFonts w:ascii="Times New Roman" w:hAnsi="Times New Roman" w:cs="Times New Roman" w:eastAsia="Times New Roman"/>
                <w:b w:val="0"/>
                <w:i w:val="0"/>
                <w:color w:val="000000"/>
                <w:sz w:val="22"/>
              </w:rPr>
              <w:t xml:space="preserve">Sean</w:t>
            </w:r>
          </w:p>
        </w:tc>
      </w:tr>
      <w:tr>
        <w:tc>
          <w:tcPr/>
          <w:p>
            <w:pPr>
              <w:pStyle w:val="Compact"/>
              <w:spacing w:after="40"/>
              <w:jc w:val="left"/>
            </w:pPr>
            <w:r>
              <w:rPr>
                <w:rFonts w:ascii="Times New Roman" w:hAnsi="Times New Roman" w:cs="Times New Roman" w:eastAsia="Times New Roman"/>
                <w:b w:val="0"/>
                <w:i w:val="0"/>
                <w:color w:val="000000"/>
                <w:sz w:val="22"/>
              </w:rPr>
              <w:t xml:space="preserve">Live monitor spec (daily run, alert rules, log format)</w:t>
            </w:r>
          </w:p>
        </w:tc>
        <w:tc>
          <w:tcPr/>
          <w:p>
            <w:pPr>
              <w:pStyle w:val="Compact"/>
              <w:spacing w:after="40"/>
              <w:jc w:val="left"/>
            </w:pPr>
            <w:r>
              <w:rPr>
                <w:rFonts w:ascii="Times New Roman" w:hAnsi="Times New Roman" w:cs="Times New Roman" w:eastAsia="Times New Roman"/>
                <w:b w:val="0"/>
                <w:i w:val="0"/>
                <w:color w:val="000000"/>
                <w:sz w:val="22"/>
              </w:rPr>
              <w:t xml:space="preserve">Sean</w:t>
            </w:r>
          </w:p>
        </w:tc>
      </w:tr>
    </w:tbl>
    <w:bookmarkEnd w:id="24"/>
    <w:bookmarkStart w:id="25" w:name="questions-for-richard"/>
    <w:p>
      <w:pPr>
        <w:pStyle w:val="Heading2"/>
        <w:spacing w:before="240" w:after="80"/>
      </w:pPr>
      <w:r>
        <w:rPr>
          <w:rFonts w:ascii="Times New Roman" w:hAnsi="Times New Roman" w:cs="Times New Roman" w:eastAsia="Times New Roman"/>
          <w:b/>
          <w:i w:val="0"/>
          <w:color w:val="000000"/>
          <w:sz w:val="22"/>
        </w:rPr>
        <w:t xml:space="preserve">Questions for Richard</w:t>
      </w:r>
    </w:p>
    <w:p>
      <w:pPr>
        <w:numPr>
          <w:ilvl w:val="0"/>
          <w:numId w:val="1004"/>
        </w:numPr>
        <w:pStyle w:val="Compact"/>
      </w:pPr>
      <w:r>
        <w:rPr>
          <w:rFonts w:ascii="Times New Roman" w:hAnsi="Times New Roman" w:cs="Times New Roman" w:eastAsia="Times New Roman"/>
          <w:b w:val="0"/>
          <w:i w:val="0"/>
          <w:color w:val="000000"/>
          <w:sz w:val="22"/>
        </w:rPr>
        <w:t xml:space="preserve">Submission date, and whether the deliverable is the trading system, a strategy paper, or both.</w:t>
      </w:r>
    </w:p>
    <w:p>
      <w:pPr>
        <w:numPr>
          <w:ilvl w:val="0"/>
          <w:numId w:val="1004"/>
        </w:numPr>
        <w:pStyle w:val="Compact"/>
      </w:pPr>
      <w:r>
        <w:rPr>
          <w:rFonts w:ascii="Times New Roman" w:hAnsi="Times New Roman" w:cs="Times New Roman" w:eastAsia="Times New Roman"/>
          <w:b w:val="0"/>
          <w:i w:val="0"/>
          <w:color w:val="000000"/>
          <w:sz w:val="22"/>
        </w:rPr>
        <w:t xml:space="preserve">Does Trade A with a 3bp entry look like a real dislocation in front-end pricing, or is that too tight?</w:t>
      </w:r>
    </w:p>
    <w:p>
      <w:pPr>
        <w:numPr>
          <w:ilvl w:val="0"/>
          <w:numId w:val="1004"/>
        </w:numPr>
        <w:pStyle w:val="Compact"/>
      </w:pPr>
      <w:r>
        <w:rPr>
          <w:rFonts w:ascii="Times New Roman" w:hAnsi="Times New Roman" w:cs="Times New Roman" w:eastAsia="Times New Roman"/>
          <w:b w:val="0"/>
          <w:i w:val="0"/>
          <w:color w:val="000000"/>
          <w:sz w:val="22"/>
        </w:rPr>
        <w:t xml:space="preserve">Should the backtest assume taker fees throughout, or report taker and maker?</w:t>
      </w:r>
    </w:p>
    <w:p>
      <w:pPr>
        <w:numPr>
          <w:ilvl w:val="0"/>
          <w:numId w:val="1004"/>
        </w:numPr>
        <w:pStyle w:val="Compact"/>
      </w:pPr>
      <w:r>
        <w:rPr>
          <w:rFonts w:ascii="Times New Roman" w:hAnsi="Times New Roman" w:cs="Times New Roman" w:eastAsia="Times New Roman"/>
          <w:b w:val="0"/>
          <w:i w:val="0"/>
          <w:color w:val="000000"/>
          <w:sz w:val="22"/>
        </w:rPr>
        <w:t xml:space="preserve">For Stage 2, Fed only, or Fed plus RBA?</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olor w:val="000000"/>
      <w:sz w:val="22"/>
    </w:rPr>
  </w:style>
  <w:style w:styleId="BodyText" w:type="paragraph">
    <w:name w:val="Body Text"/>
    <w:basedOn w:val="Normal"/>
    <w:link w:val="BodyTextChar"/>
    <w:pPr>
      <w:spacing w:after="180" w:before="180"/>
    </w:pPr>
    <w:qFormat/>
    <w:rPr>
      <w:rFonts w:ascii="Times New Roman" w:hAnsi="Times New Roman"/>
      <w:color w:val="000000"/>
      <w:sz w:val="22"/>
    </w:rPr>
  </w:style>
  <w:style w:customStyle="1" w:styleId="FirstParagraph" w:type="paragraph">
    <w:name w:val="First Paragraph"/>
    <w:basedOn w:val="BodyText"/>
    <w:next w:val="BodyText"/>
    <w:qFormat/>
    <w:rPr>
      <w:rFonts w:ascii="Times New Roman" w:hAnsi="Times New Roman"/>
      <w:color w:val="000000"/>
      <w:sz w:val="22"/>
    </w:rPr>
  </w:style>
  <w:style w:customStyle="1" w:styleId="Compact" w:type="paragraph">
    <w:name w:val="Compact"/>
    <w:basedOn w:val="BodyText"/>
    <w:qFormat/>
    <w:pPr>
      <w:spacing w:after="36" w:before="36"/>
    </w:pPr>
    <w:rPr>
      <w:rFonts w:ascii="Times New Roman" w:hAnsi="Times New Roman"/>
      <w:color w:val="000000"/>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b/>
      <w:bCs/>
      <w:i w:val="0"/>
      <w:color w:val="000000"/>
      <w:sz w:val="24"/>
      <w:szCs w:val="36"/>
    </w:rPr>
  </w:style>
  <w:style w:styleId="Subtitle" w:type="paragraph">
    <w:name w:val="Subtitle"/>
    <w:basedOn w:val="Title"/>
    <w:next w:val="BodyText"/>
    <w:qFormat/>
    <w:pPr>
      <w:keepNext/>
      <w:keepLines/>
      <w:spacing w:after="240" w:before="240"/>
      <w:jc w:val="center"/>
    </w:pPr>
    <w:rPr>
      <w:rFonts w:ascii="Times New Roman" w:hAnsi="Times New Roman"/>
      <w:b/>
      <w:i w:val="0"/>
      <w:color w:val="000000"/>
      <w:sz w:val="22"/>
      <w:szCs w:val="30"/>
    </w:rPr>
  </w:style>
  <w:style w:customStyle="1" w:styleId="Author" w:type="paragraph">
    <w:name w:val="Author"/>
    <w:next w:val="BodyText"/>
    <w:qFormat/>
    <w:pPr>
      <w:keepNext/>
      <w:keepLines/>
      <w:jc w:val="center"/>
    </w:pPr>
    <w:rPr>
      <w:rFonts w:ascii="Times New Roman" w:hAnsi="Times New Roman"/>
      <w:b/>
      <w:i w:val="0"/>
      <w:color w:val="000000"/>
      <w:sz w:val="22"/>
    </w:rPr>
  </w:style>
  <w:style w:styleId="Date" w:type="paragraph">
    <w:name w:val="Date"/>
    <w:next w:val="BodyText"/>
    <w:qFormat/>
    <w:pPr>
      <w:keepNext/>
      <w:keepLines/>
      <w:jc w:val="center"/>
    </w:pPr>
    <w:rPr>
      <w:rFonts w:ascii="Times New Roman" w:hAnsi="Times New Roman"/>
      <w:b/>
      <w:i w:val="0"/>
      <w:color w:val="000000"/>
      <w:sz w:val="22"/>
    </w:rPr>
  </w:style>
  <w:style w:customStyle="1" w:styleId="AbstractTitle" w:type="paragraph">
    <w:name w:val="Abstract Title"/>
    <w:basedOn w:val="Normal"/>
    <w:next w:val="Abstract"/>
    <w:qFormat/>
    <w:pPr>
      <w:keepNext/>
      <w:keepLines/>
      <w:jc w:val="center"/>
      <w:spacing w:after="0" w:before="300"/>
    </w:pPr>
    <w:rPr>
      <w:color w:val="000000"/>
      <w:sz w:val="22"/>
      <w:szCs w:val="20"/>
      <w:rFonts w:ascii="Times New Roman" w:hAnsi="Times New Roman"/>
      <w:b/>
    </w:rPr>
  </w:style>
  <w:style w:customStyle="1" w:styleId="Abstract" w:type="paragraph">
    <w:name w:val="Abstract"/>
    <w:basedOn w:val="Normal"/>
    <w:next w:val="BodyText"/>
    <w:qFormat/>
    <w:pPr>
      <w:keepNext/>
      <w:keepLines/>
      <w:spacing w:after="300" w:before="100"/>
    </w:pPr>
    <w:rPr>
      <w:rFonts w:ascii="Times New Roman" w:hAnsi="Times New Roman"/>
      <w:color w:val="000000"/>
      <w:sz w:val="22"/>
      <w:szCs w:val="20"/>
    </w:rPr>
  </w:style>
  <w:style w:styleId="Bibliography" w:type="paragraph">
    <w:name w:val="Bibliography"/>
    <w:basedOn w:val="Normal"/>
    <w:next w:val="Bibliography"/>
    <w:qFormat/>
    <w:pPr/>
    <w:rPr>
      <w:rFonts w:ascii="Times New Roman" w:hAnsi="Times New Roman"/>
      <w:color w:val="000000"/>
      <w:sz w:val="22"/>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b/>
      <w:bCs/>
      <w:i w:val="0"/>
      <w:color w:val="000000"/>
      <w:sz w:val="24"/>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b/>
      <w:bCs/>
      <w:i w:val="0"/>
      <w:color w:val="000000"/>
      <w:sz w:val="22"/>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b/>
      <w:bCs/>
      <w:i w:val="0"/>
      <w:color w:val="000000"/>
      <w:sz w:val="22"/>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i w:val="0"/>
      <w:b/>
      <w:bCs/>
      <w:color w:val="000000"/>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b/>
      <w:i w:val="0"/>
      <w:iCs/>
      <w:color w:val="000000"/>
      <w:sz w:val="22"/>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b/>
      <w:i w:val="0"/>
      <w:color w:val="000000"/>
      <w:sz w:val="22"/>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b/>
      <w:i w:val="0"/>
      <w:color w:val="000000"/>
      <w:sz w:val="22"/>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b/>
      <w:i w:val="0"/>
      <w:color w:val="000000"/>
      <w:sz w:val="22"/>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b/>
      <w:i w:val="0"/>
      <w:color w:val="000000"/>
      <w:sz w:val="22"/>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olor w:val="000000"/>
      <w:sz w:val="22"/>
    </w:rPr>
  </w:style>
  <w:style w:styleId="FootnoteText" w:type="paragraph">
    <w:name w:val="Footnote Text"/>
    <w:basedOn w:val="Normal"/>
    <w:next w:val="FootnoteText"/>
    <w:uiPriority w:val="9"/>
    <w:unhideWhenUsed/>
    <w:qFormat/>
    <w:rPr>
      <w:rFonts w:ascii="Times New Roman" w:hAnsi="Times New Roman"/>
      <w:color w:val="000000"/>
      <w:sz w:val="22"/>
    </w:rPr>
  </w:style>
  <w:style w:default="1" w:styleId="DefaultParagraphFont" w:type="character">
    <w:name w:val="Default Paragraph Font"/>
    <w:semiHidden/>
    <w:unhideWhenUsed/>
    <w:rPr>
      <w:rFonts w:ascii="Times New Roman" w:hAnsi="Times New Roman"/>
      <w:color w:val="000000"/>
      <w:sz w:val="22"/>
    </w:rPr>
  </w:style>
  <w:style w:default="1" w:styleId="Table" w:type="table">
    <w:name w:val="Table"/>
    <w:basedOn w:val="TableNormal"/>
    <w:semiHidden/>
    <w:unhideWhenUsed/>
    <w:qFormat/>
    <w:rPr>
      <w:rFonts w:ascii="Times New Roman" w:hAnsi="Times New Roman"/>
      <w:color w:val="000000"/>
      <w:sz w:val="22"/>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b/>
      <w:color w:val="000000"/>
      <w:sz w:val="22"/>
    </w:rPr>
  </w:style>
  <w:style w:customStyle="1" w:styleId="Definition" w:type="paragraph">
    <w:name w:val="Definition"/>
    <w:basedOn w:val="Normal"/>
    <w:rPr>
      <w:rFonts w:ascii="Times New Roman" w:hAnsi="Times New Roman"/>
      <w:color w:val="000000"/>
      <w:sz w:val="22"/>
    </w:rPr>
  </w:style>
  <w:style w:styleId="Caption" w:type="paragraph">
    <w:name w:val="Caption"/>
    <w:basedOn w:val="Normal"/>
    <w:link w:val="BodyTextChar"/>
    <w:pPr>
      <w:spacing w:after="120" w:before="0"/>
    </w:pPr>
    <w:rPr>
      <w:rFonts w:ascii="Times New Roman" w:hAnsi="Times New Roman"/>
      <w:i/>
      <w:color w:val="000000"/>
      <w:sz w:val="22"/>
    </w:rPr>
  </w:style>
  <w:style w:customStyle="1" w:styleId="TableCaption" w:type="paragraph">
    <w:name w:val="Table Caption"/>
    <w:basedOn w:val="Caption"/>
    <w:pPr>
      <w:keepNext/>
    </w:pPr>
    <w:rPr>
      <w:rFonts w:ascii="Times New Roman" w:hAnsi="Times New Roman"/>
      <w:color w:val="000000"/>
      <w:sz w:val="22"/>
    </w:rPr>
  </w:style>
  <w:style w:customStyle="1" w:styleId="ImageCaption" w:type="paragraph">
    <w:name w:val="Image Caption"/>
    <w:basedOn w:val="Caption"/>
    <w:rPr>
      <w:rFonts w:ascii="Times New Roman" w:hAnsi="Times New Roman"/>
      <w:color w:val="000000"/>
      <w:sz w:val="22"/>
    </w:rPr>
  </w:style>
  <w:style w:customStyle="1" w:styleId="Figure" w:type="paragraph">
    <w:name w:val="Figure"/>
    <w:basedOn w:val="Normal"/>
    <w:rPr>
      <w:rFonts w:ascii="Times New Roman" w:hAnsi="Times New Roman"/>
      <w:color w:val="000000"/>
      <w:sz w:val="22"/>
    </w:rPr>
  </w:style>
  <w:style w:customStyle="1" w:styleId="CaptionedFigure" w:type="paragraph">
    <w:name w:val="Captioned Figure"/>
    <w:basedOn w:val="Figure"/>
    <w:pPr>
      <w:keepNext/>
    </w:pPr>
    <w:rPr>
      <w:rFonts w:ascii="Times New Roman" w:hAnsi="Times New Roman"/>
      <w:color w:val="000000"/>
      <w:sz w:val="22"/>
    </w:rPr>
  </w:style>
  <w:style w:customStyle="1" w:styleId="BodyTextChar" w:type="character">
    <w:name w:val="Body Text Char"/>
    <w:basedOn w:val="DefaultParagraphFont"/>
    <w:link w:val="BodyText"/>
    <w:rPr>
      <w:rFonts w:ascii="Times New Roman" w:hAnsi="Times New Roman"/>
      <w:color w:val="000000"/>
      <w:sz w:val="22"/>
    </w:rPr>
  </w:style>
  <w:style w:customStyle="1" w:styleId="VerbatimChar" w:type="character">
    <w:name w:val="Verbatim Char"/>
    <w:basedOn w:val="BodyTextChar"/>
    <w:rPr>
      <w:rFonts w:ascii="Times New Roman" w:hAnsi="Times New Roman"/>
      <w:color w:val="000000"/>
      <w:sz w:val="22"/>
    </w:rPr>
  </w:style>
  <w:style w:customStyle="1" w:styleId="SectionNumber" w:type="character">
    <w:name w:val="Section Number"/>
    <w:basedOn w:val="BodyTextChar"/>
    <w:rPr>
      <w:rFonts w:ascii="Times New Roman" w:hAnsi="Times New Roman"/>
      <w:color w:val="000000"/>
      <w:sz w:val="22"/>
    </w:rPr>
  </w:style>
  <w:style w:styleId="FootnoteReference" w:type="character">
    <w:name w:val="Footnote Reference"/>
    <w:basedOn w:val="BodyTextChar"/>
    <w:rPr>
      <w:rFonts w:ascii="Times New Roman" w:hAnsi="Times New Roman"/>
      <w:color w:val="000000"/>
      <w:sz w:val="22"/>
      <w:vertAlign w:val="superscript"/>
    </w:rPr>
  </w:style>
  <w:style w:styleId="Hyperlink" w:type="character">
    <w:name w:val="Hyperlink"/>
    <w:basedOn w:val="BodyTextChar"/>
    <w:rPr>
      <w:rFonts w:ascii="Times New Roman" w:hAnsi="Times New Roman"/>
      <w:color w:val="000000"/>
      <w:sz w:val="22"/>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b w:val="0"/>
      <w:bCs w:val="0"/>
      <w:color w:val="000000"/>
      <w:sz w:val="22"/>
    </w:rPr>
  </w:style>
  <w:style w:type="paragraph" w:customStyle="1" w:styleId="SourceCode">
    <w:name w:val="Source Code"/>
    <w:basedOn w:val="Normal"/>
    <w:link w:val="VerbatimChar"/>
    <w:pPr>
      <w:wordWrap w:val="off"/>
    </w:pPr>
    <w:rPr>
      <w:rFonts w:ascii="Times New Roman" w:hAnsi="Times New Roman"/>
      <w:color w:val="000000"/>
      <w:sz w:val="22"/>
    </w:rPr>
  </w:style>
  <w:style w:type="character" w:customStyle="1" w:styleId="KeywordTok">
    <w:name w:val="KeywordTok"/>
    <w:basedOn w:val="VerbatimChar"/>
    <w:rPr>
      <w:rFonts w:ascii="Times New Roman" w:hAnsi="Times New Roman"/>
      <w:b/>
      <w:color w:val="000000"/>
      <w:sz w:val="22"/>
    </w:rPr>
  </w:style>
  <w:style w:type="character" w:customStyle="1" w:styleId="DataTypeTok">
    <w:name w:val="DataTypeTok"/>
    <w:basedOn w:val="VerbatimChar"/>
    <w:rPr>
      <w:rFonts w:ascii="Times New Roman" w:hAnsi="Times New Roman"/>
      <w:color w:val="000000"/>
      <w:sz w:val="22"/>
    </w:rPr>
  </w:style>
  <w:style w:type="character" w:customStyle="1" w:styleId="DecValTok">
    <w:name w:val="DecValTok"/>
    <w:basedOn w:val="VerbatimChar"/>
    <w:rPr>
      <w:rFonts w:ascii="Times New Roman" w:hAnsi="Times New Roman"/>
      <w:color w:val="000000"/>
      <w:sz w:val="22"/>
    </w:rPr>
  </w:style>
  <w:style w:type="character" w:customStyle="1" w:styleId="BaseNTok">
    <w:name w:val="BaseNTok"/>
    <w:basedOn w:val="VerbatimChar"/>
    <w:rPr>
      <w:rFonts w:ascii="Times New Roman" w:hAnsi="Times New Roman"/>
      <w:color w:val="000000"/>
      <w:sz w:val="22"/>
    </w:rPr>
  </w:style>
  <w:style w:type="character" w:customStyle="1" w:styleId="FloatTok">
    <w:name w:val="FloatTok"/>
    <w:basedOn w:val="VerbatimChar"/>
    <w:rPr>
      <w:rFonts w:ascii="Times New Roman" w:hAnsi="Times New Roman"/>
      <w:color w:val="000000"/>
      <w:sz w:val="22"/>
    </w:rPr>
  </w:style>
  <w:style w:type="character" w:customStyle="1" w:styleId="ConstantTok">
    <w:name w:val="ConstantTok"/>
    <w:basedOn w:val="VerbatimChar"/>
    <w:rPr>
      <w:rFonts w:ascii="Times New Roman" w:hAnsi="Times New Roman"/>
      <w:color w:val="000000"/>
      <w:sz w:val="22"/>
    </w:rPr>
  </w:style>
  <w:style w:type="character" w:customStyle="1" w:styleId="CharTok">
    <w:name w:val="CharTok"/>
    <w:basedOn w:val="VerbatimChar"/>
    <w:rPr>
      <w:rFonts w:ascii="Times New Roman" w:hAnsi="Times New Roman"/>
      <w:color w:val="000000"/>
      <w:sz w:val="22"/>
    </w:rPr>
  </w:style>
  <w:style w:type="character" w:customStyle="1" w:styleId="SpecialCharTok">
    <w:name w:val="SpecialCharTok"/>
    <w:basedOn w:val="VerbatimChar"/>
    <w:rPr>
      <w:rFonts w:ascii="Times New Roman" w:hAnsi="Times New Roman"/>
      <w:color w:val="000000"/>
      <w:sz w:val="22"/>
    </w:rPr>
  </w:style>
  <w:style w:type="character" w:customStyle="1" w:styleId="StringTok">
    <w:name w:val="StringTok"/>
    <w:basedOn w:val="VerbatimChar"/>
    <w:rPr>
      <w:rFonts w:ascii="Times New Roman" w:hAnsi="Times New Roman"/>
      <w:color w:val="000000"/>
      <w:sz w:val="22"/>
    </w:rPr>
  </w:style>
  <w:style w:type="character" w:customStyle="1" w:styleId="VerbatimStringTok">
    <w:name w:val="VerbatimStringTok"/>
    <w:basedOn w:val="VerbatimChar"/>
    <w:rPr>
      <w:rFonts w:ascii="Times New Roman" w:hAnsi="Times New Roman"/>
      <w:color w:val="000000"/>
      <w:sz w:val="22"/>
    </w:rPr>
  </w:style>
  <w:style w:type="character" w:customStyle="1" w:styleId="SpecialStringTok">
    <w:name w:val="SpecialStringTok"/>
    <w:basedOn w:val="VerbatimChar"/>
    <w:rPr>
      <w:rFonts w:ascii="Times New Roman" w:hAnsi="Times New Roman"/>
      <w:color w:val="000000"/>
      <w:sz w:val="22"/>
    </w:rPr>
  </w:style>
  <w:style w:type="character" w:customStyle="1" w:styleId="ImportTok">
    <w:name w:val="ImportTok"/>
    <w:basedOn w:val="VerbatimChar"/>
    <w:rPr>
      <w:rFonts w:ascii="Times New Roman" w:hAnsi="Times New Roman"/>
      <w:b/>
      <w:color w:val="000000"/>
      <w:sz w:val="22"/>
    </w:rPr>
  </w:style>
  <w:style w:type="character" w:customStyle="1" w:styleId="CommentTok">
    <w:name w:val="CommentTok"/>
    <w:basedOn w:val="VerbatimChar"/>
    <w:rPr>
      <w:rFonts w:ascii="Times New Roman" w:hAnsi="Times New Roman"/>
      <w:i/>
      <w:color w:val="000000"/>
      <w:sz w:val="22"/>
    </w:rPr>
  </w:style>
  <w:style w:type="character" w:customStyle="1" w:styleId="DocumentationTok">
    <w:name w:val="DocumentationTok"/>
    <w:basedOn w:val="VerbatimChar"/>
    <w:rPr>
      <w:rFonts w:ascii="Times New Roman" w:hAnsi="Times New Roman"/>
      <w:i/>
      <w:color w:val="000000"/>
      <w:sz w:val="22"/>
    </w:rPr>
  </w:style>
  <w:style w:type="character" w:customStyle="1" w:styleId="AnnotationTok">
    <w:name w:val="AnnotationTok"/>
    <w:basedOn w:val="VerbatimChar"/>
    <w:rPr>
      <w:rFonts w:ascii="Times New Roman" w:hAnsi="Times New Roman"/>
      <w:b/>
      <w:i/>
      <w:color w:val="000000"/>
      <w:sz w:val="22"/>
    </w:rPr>
  </w:style>
  <w:style w:type="character" w:customStyle="1" w:styleId="CommentVarTok">
    <w:name w:val="CommentVarTok"/>
    <w:basedOn w:val="VerbatimChar"/>
    <w:rPr>
      <w:rFonts w:ascii="Times New Roman" w:hAnsi="Times New Roman"/>
      <w:b/>
      <w:i/>
      <w:color w:val="000000"/>
      <w:sz w:val="22"/>
    </w:rPr>
  </w:style>
  <w:style w:type="character" w:customStyle="1" w:styleId="OtherTok">
    <w:name w:val="OtherTok"/>
    <w:basedOn w:val="VerbatimChar"/>
    <w:rPr>
      <w:rFonts w:ascii="Times New Roman" w:hAnsi="Times New Roman"/>
      <w:color w:val="000000"/>
      <w:sz w:val="22"/>
    </w:rPr>
  </w:style>
  <w:style w:type="character" w:customStyle="1" w:styleId="FunctionTok">
    <w:name w:val="FunctionTok"/>
    <w:basedOn w:val="VerbatimChar"/>
    <w:rPr>
      <w:rFonts w:ascii="Times New Roman" w:hAnsi="Times New Roman"/>
      <w:color w:val="000000"/>
      <w:sz w:val="22"/>
    </w:rPr>
  </w:style>
  <w:style w:type="character" w:customStyle="1" w:styleId="VariableTok">
    <w:name w:val="VariableTok"/>
    <w:basedOn w:val="VerbatimChar"/>
    <w:rPr>
      <w:rFonts w:ascii="Times New Roman" w:hAnsi="Times New Roman"/>
      <w:color w:val="000000"/>
      <w:sz w:val="22"/>
    </w:rPr>
  </w:style>
  <w:style w:type="character" w:customStyle="1" w:styleId="ControlFlowTok">
    <w:name w:val="ControlFlowTok"/>
    <w:basedOn w:val="VerbatimChar"/>
    <w:rPr>
      <w:rFonts w:ascii="Times New Roman" w:hAnsi="Times New Roman"/>
      <w:b/>
      <w:color w:val="000000"/>
      <w:sz w:val="22"/>
    </w:rPr>
  </w:style>
  <w:style w:type="character" w:customStyle="1" w:styleId="OperatorTok">
    <w:name w:val="OperatorTok"/>
    <w:basedOn w:val="VerbatimChar"/>
    <w:rPr>
      <w:rFonts w:ascii="Times New Roman" w:hAnsi="Times New Roman"/>
      <w:color w:val="000000"/>
      <w:sz w:val="22"/>
    </w:rPr>
  </w:style>
  <w:style w:type="character" w:customStyle="1" w:styleId="BuiltInTok">
    <w:name w:val="BuiltInTok"/>
    <w:basedOn w:val="VerbatimChar"/>
    <w:rPr>
      <w:rFonts w:ascii="Times New Roman" w:hAnsi="Times New Roman"/>
      <w:color w:val="000000"/>
      <w:sz w:val="22"/>
    </w:rPr>
  </w:style>
  <w:style w:type="character" w:customStyle="1" w:styleId="ExtensionTok">
    <w:name w:val="ExtensionTok"/>
    <w:basedOn w:val="VerbatimChar"/>
    <w:rPr>
      <w:rFonts w:ascii="Times New Roman" w:hAnsi="Times New Roman"/>
      <w:color w:val="000000"/>
      <w:sz w:val="22"/>
    </w:rPr>
  </w:style>
  <w:style w:type="character" w:customStyle="1" w:styleId="PreprocessorTok">
    <w:name w:val="PreprocessorTok"/>
    <w:basedOn w:val="VerbatimChar"/>
    <w:rPr>
      <w:rFonts w:ascii="Times New Roman" w:hAnsi="Times New Roman"/>
      <w:color w:val="000000"/>
      <w:sz w:val="22"/>
    </w:rPr>
  </w:style>
  <w:style w:type="character" w:customStyle="1" w:styleId="AttributeTok">
    <w:name w:val="AttributeTok"/>
    <w:basedOn w:val="VerbatimChar"/>
    <w:rPr>
      <w:rFonts w:ascii="Times New Roman" w:hAnsi="Times New Roman"/>
      <w:color w:val="000000"/>
      <w:sz w:val="22"/>
    </w:rPr>
  </w:style>
  <w:style w:type="character" w:customStyle="1" w:styleId="RegionMarkerTok">
    <w:name w:val="RegionMarkerTok"/>
    <w:basedOn w:val="VerbatimChar"/>
    <w:rPr>
      <w:rFonts w:ascii="Times New Roman" w:hAnsi="Times New Roman"/>
      <w:color w:val="000000"/>
      <w:sz w:val="22"/>
    </w:rPr>
  </w:style>
  <w:style w:type="character" w:customStyle="1" w:styleId="InformationTok">
    <w:name w:val="InformationTok"/>
    <w:basedOn w:val="VerbatimChar"/>
    <w:rPr>
      <w:rFonts w:ascii="Times New Roman" w:hAnsi="Times New Roman"/>
      <w:b/>
      <w:i/>
      <w:color w:val="000000"/>
      <w:sz w:val="22"/>
    </w:rPr>
  </w:style>
  <w:style w:type="character" w:customStyle="1" w:styleId="WarningTok">
    <w:name w:val="WarningTok"/>
    <w:basedOn w:val="VerbatimChar"/>
    <w:rPr>
      <w:rFonts w:ascii="Times New Roman" w:hAnsi="Times New Roman"/>
      <w:b/>
      <w:i/>
      <w:color w:val="000000"/>
      <w:sz w:val="22"/>
    </w:rPr>
  </w:style>
  <w:style w:type="character" w:customStyle="1" w:styleId="AlertTok">
    <w:name w:val="AlertTok"/>
    <w:basedOn w:val="VerbatimChar"/>
    <w:rPr>
      <w:rFonts w:ascii="Times New Roman" w:hAnsi="Times New Roman"/>
      <w:b/>
      <w:color w:val="000000"/>
      <w:sz w:val="22"/>
    </w:rPr>
  </w:style>
  <w:style w:type="character" w:customStyle="1" w:styleId="ErrorTok">
    <w:name w:val="ErrorTok"/>
    <w:basedOn w:val="VerbatimChar"/>
    <w:rPr>
      <w:rFonts w:ascii="Times New Roman" w:hAnsi="Times New Roman"/>
      <w:b/>
      <w:color w:val="000000"/>
      <w:sz w:val="22"/>
    </w:rPr>
  </w:style>
  <w:style w:type="character" w:customStyle="1" w:styleId="NormalTok">
    <w:name w:val="NormalTok"/>
    <w:basedOn w:val="VerbatimChar"/>
    <w:rPr>
      <w:rFonts w:ascii="Times New Roman" w:hAnsi="Times New Roman"/>
      <w:color w:val="000000"/>
      <w:sz w:val="22"/>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2026-09-24T13:33:55Z</dcterms:created>
  <dcterms:modified xsi:type="dcterms:W3CDTF">2026-09-24T13:33:55Z</dcterms:modified>
</cp:coreProperties>
</file>

<file path=docProps/custom.xml><?xml version="1.0" encoding="utf-8"?>
<Properties xmlns="http://schemas.openxmlformats.org/officeDocument/2006/custom-properties" xmlns:vt="http://schemas.openxmlformats.org/officeDocument/2006/docPropsVTypes"/>
</file>