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DA10" w14:textId="77777777" w:rsidR="00C10F45" w:rsidRDefault="00000000">
      <w:pPr>
        <w:pStyle w:val="Title"/>
        <w:spacing w:after="80"/>
      </w:pPr>
      <w:r>
        <w:t>Prediction Market vs. Rates Futures Arbitrage</w:t>
      </w:r>
    </w:p>
    <w:p w14:paraId="5E27DA11" w14:textId="77777777" w:rsidR="00C10F45" w:rsidRDefault="00000000">
      <w:pPr>
        <w:spacing w:after="320"/>
      </w:pPr>
      <w:r>
        <w:t xml:space="preserve">Project brief (v2) — quantitative rates </w:t>
      </w:r>
      <w:proofErr w:type="spellStart"/>
      <w:r>
        <w:t>backtesting</w:t>
      </w:r>
      <w:proofErr w:type="spellEnd"/>
      <w:r>
        <w:t xml:space="preserve"> framework extension</w:t>
      </w:r>
    </w:p>
    <w:p w14:paraId="5E27DA12" w14:textId="77777777" w:rsidR="00C10F45" w:rsidRDefault="00000000">
      <w:pPr>
        <w:pStyle w:val="Heading1"/>
        <w:spacing w:before="320" w:after="160"/>
      </w:pPr>
      <w:r>
        <w:t>1. Objective</w:t>
      </w:r>
    </w:p>
    <w:p w14:paraId="5E27DA13" w14:textId="77777777" w:rsidR="00C10F45" w:rsidRDefault="00000000">
      <w:pPr>
        <w:spacing w:after="160"/>
      </w:pPr>
      <w:r>
        <w:t>Test whether prediction markets (Kalshi, and potentially Betfair/</w:t>
      </w:r>
      <w:proofErr w:type="spellStart"/>
      <w:r>
        <w:t>Polymarket</w:t>
      </w:r>
      <w:proofErr w:type="spellEnd"/>
      <w:r>
        <w:t>) systematically diverge from professional interest-rate futures markets in their implied pricing of central bank rate decisions — and if so, whether that divergence is a persistent, tradeable pattern rather than noise.</w:t>
      </w:r>
    </w:p>
    <w:p w14:paraId="5E27DA14" w14:textId="77777777" w:rsidR="00C10F45" w:rsidRDefault="00000000">
      <w:pPr>
        <w:spacing w:after="160"/>
      </w:pPr>
      <w:r>
        <w:t>This extends an existing rates-</w:t>
      </w:r>
      <w:proofErr w:type="spellStart"/>
      <w:r>
        <w:t>backtesting</w:t>
      </w:r>
      <w:proofErr w:type="spellEnd"/>
      <w:r>
        <w:t xml:space="preserve"> framework (built on FRED Treasury curve data, originally motivated by a Bund curve </w:t>
      </w:r>
      <w:proofErr w:type="spellStart"/>
      <w:r>
        <w:t>steepener</w:t>
      </w:r>
      <w:proofErr w:type="spellEnd"/>
      <w:r>
        <w:t xml:space="preserve"> analysis) into a cross-market comparison, using Fed Funds futures (CME) and Kalshi's FOMC decision contracts as the initial pairing.</w:t>
      </w:r>
    </w:p>
    <w:p w14:paraId="5E27DA15" w14:textId="77777777" w:rsidR="00C10F45" w:rsidRDefault="00000000">
      <w:pPr>
        <w:pStyle w:val="Heading1"/>
        <w:spacing w:before="320" w:after="160"/>
      </w:pPr>
      <w:r>
        <w:t>2. Hypothesis</w:t>
      </w:r>
    </w:p>
    <w:p w14:paraId="5E27DA16" w14:textId="77777777" w:rsidR="00C10F45" w:rsidRDefault="00000000">
      <w:pPr>
        <w:spacing w:after="160"/>
      </w:pPr>
      <w:r>
        <w:t>Fed Funds futures are a deep, fast-reacting professional market (banks, hedge funds, prop desks). Kalshi's Fed-decision contracts are comparatively thin and retail-heavy. If Kalshi is slower to digest new information, its pricing should periodically lag the futures-implied view, creating a temporary, convergent mispricing that can be identified and, if large enough net of fees and spreads, traded.</w:t>
      </w:r>
    </w:p>
    <w:p w14:paraId="5E27DA17" w14:textId="77777777" w:rsidR="00C10F45" w:rsidRDefault="00000000">
      <w:pPr>
        <w:pStyle w:val="Heading1"/>
        <w:spacing w:before="320" w:after="160"/>
      </w:pPr>
      <w:r>
        <w:t>3. Original method (v1) — single-outcome binary probability</w:t>
      </w:r>
    </w:p>
    <w:p w14:paraId="5E27DA18" w14:textId="77777777" w:rsidR="00C10F45" w:rsidRDefault="00000000">
      <w:pPr>
        <w:spacing w:after="160"/>
      </w:pPr>
      <w:r>
        <w:t>The initial approach solved for the futures-implied probability of one specific, assumed move size (e.g. 25bp), using:</w:t>
      </w:r>
    </w:p>
    <w:p w14:paraId="5E27DA19" w14:textId="77777777" w:rsidR="00C10F45" w:rsidRDefault="00000000">
      <w:pPr>
        <w:spacing w:after="160"/>
      </w:pPr>
      <w:r>
        <w:rPr>
          <w:rFonts w:ascii="Consolas" w:eastAsia="Consolas" w:hAnsi="Consolas" w:cs="Consolas"/>
          <w:i/>
          <w:iCs/>
        </w:rPr>
        <w:t>p = (</w:t>
      </w:r>
      <w:proofErr w:type="spellStart"/>
      <w:r>
        <w:rPr>
          <w:rFonts w:ascii="Consolas" w:eastAsia="Consolas" w:hAnsi="Consolas" w:cs="Consolas"/>
          <w:i/>
          <w:iCs/>
        </w:rPr>
        <w:t>implied_avg_rate</w:t>
      </w:r>
      <w:proofErr w:type="spellEnd"/>
      <w:r>
        <w:rPr>
          <w:rFonts w:ascii="Consolas" w:eastAsia="Consolas" w:hAnsi="Consolas" w:cs="Consolas"/>
          <w:i/>
          <w:iCs/>
        </w:rPr>
        <w:t xml:space="preserve"> − </w:t>
      </w:r>
      <w:proofErr w:type="spellStart"/>
      <w:r>
        <w:rPr>
          <w:rFonts w:ascii="Consolas" w:eastAsia="Consolas" w:hAnsi="Consolas" w:cs="Consolas"/>
          <w:i/>
          <w:iCs/>
        </w:rPr>
        <w:t>current_rate</w:t>
      </w:r>
      <w:proofErr w:type="spellEnd"/>
      <w:r>
        <w:rPr>
          <w:rFonts w:ascii="Consolas" w:eastAsia="Consolas" w:hAnsi="Consolas" w:cs="Consolas"/>
          <w:i/>
          <w:iCs/>
        </w:rPr>
        <w:t>) / (</w:t>
      </w:r>
      <w:proofErr w:type="spellStart"/>
      <w:r>
        <w:rPr>
          <w:rFonts w:ascii="Consolas" w:eastAsia="Consolas" w:hAnsi="Consolas" w:cs="Consolas"/>
          <w:i/>
          <w:iCs/>
        </w:rPr>
        <w:t>weight_after_meeting</w:t>
      </w:r>
      <w:proofErr w:type="spellEnd"/>
      <w:r>
        <w:rPr>
          <w:rFonts w:ascii="Consolas" w:eastAsia="Consolas" w:hAnsi="Consolas" w:cs="Consolas"/>
          <w:i/>
          <w:iCs/>
        </w:rPr>
        <w:t xml:space="preserve"> × </w:t>
      </w:r>
      <w:proofErr w:type="spellStart"/>
      <w:r>
        <w:rPr>
          <w:rFonts w:ascii="Consolas" w:eastAsia="Consolas" w:hAnsi="Consolas" w:cs="Consolas"/>
          <w:i/>
          <w:iCs/>
        </w:rPr>
        <w:t>move_size</w:t>
      </w:r>
      <w:proofErr w:type="spellEnd"/>
      <w:r>
        <w:rPr>
          <w:rFonts w:ascii="Consolas" w:eastAsia="Consolas" w:hAnsi="Consolas" w:cs="Consolas"/>
          <w:i/>
          <w:iCs/>
        </w:rPr>
        <w:t>)</w:t>
      </w:r>
    </w:p>
    <w:p w14:paraId="5E27DA1A" w14:textId="77777777" w:rsidR="00C10F45" w:rsidRDefault="00000000">
      <w:pPr>
        <w:spacing w:after="160"/>
      </w:pPr>
      <w:r>
        <w:t>This was compared directly against the Kalshi contract price for that same move size (e.g. the "Hike 25bp" contract), taken as a bid/ask midpoint.</w:t>
      </w:r>
    </w:p>
    <w:p w14:paraId="5E27DA1B" w14:textId="16F243EF" w:rsidR="00C10F45" w:rsidRDefault="00000000">
      <w:pPr>
        <w:pStyle w:val="Heading2"/>
        <w:spacing w:before="240" w:after="120"/>
      </w:pPr>
      <w:r>
        <w:t xml:space="preserve">3.1 </w:t>
      </w:r>
      <w:r w:rsidR="00FB4102">
        <w:t>Justification for using a different method</w:t>
      </w:r>
    </w:p>
    <w:p w14:paraId="5E27DA1C" w14:textId="77777777" w:rsidR="00C10F45" w:rsidRDefault="00000000">
      <w:pPr>
        <w:spacing w:after="160"/>
      </w:pPr>
      <w:r>
        <w:t xml:space="preserve">The Fed Funds futures price only contains one piece of information: the market's expected average rate for the contract month. That single number cannot be decomposed into separate, independent probabilities for each possible move size — running the formula with </w:t>
      </w:r>
      <w:proofErr w:type="spellStart"/>
      <w:r>
        <w:t>move_size</w:t>
      </w:r>
      <w:proofErr w:type="spellEnd"/>
      <w:r>
        <w:t xml:space="preserve">=25 and </w:t>
      </w:r>
      <w:proofErr w:type="spellStart"/>
      <w:r>
        <w:t>move_size</w:t>
      </w:r>
      <w:proofErr w:type="spellEnd"/>
      <w:r>
        <w:t>=50 does not yield two independent estimates; the second is mechanically half the first, because both are the same fixed numerator (</w:t>
      </w:r>
      <w:proofErr w:type="spellStart"/>
      <w:r>
        <w:t>implied_avg_rate</w:t>
      </w:r>
      <w:proofErr w:type="spellEnd"/>
      <w:r>
        <w:t xml:space="preserve"> − </w:t>
      </w:r>
      <w:proofErr w:type="spellStart"/>
      <w:r>
        <w:t>current_rate</w:t>
      </w:r>
      <w:proofErr w:type="spellEnd"/>
      <w:r>
        <w:t xml:space="preserve">) divided by a different denominator. Treating these as separate mutually exclusive probabilities and summing them (to get "probability of any move") therefore </w:t>
      </w:r>
      <w:proofErr w:type="gramStart"/>
      <w:r>
        <w:t>double-counts</w:t>
      </w:r>
      <w:proofErr w:type="gramEnd"/>
      <w:r>
        <w:t xml:space="preserve"> the same underlying signal and overstates the result.</w:t>
      </w:r>
    </w:p>
    <w:p w14:paraId="5E27DA1D" w14:textId="77777777" w:rsidR="00C10F45" w:rsidRDefault="00000000">
      <w:pPr>
        <w:spacing w:after="160"/>
      </w:pPr>
      <w:r>
        <w:t xml:space="preserve">This also could not handle "hold" outcomes at all: a </w:t>
      </w:r>
      <w:proofErr w:type="spellStart"/>
      <w:r>
        <w:t>move_size</w:t>
      </w:r>
      <w:proofErr w:type="spellEnd"/>
      <w:r>
        <w:t xml:space="preserve"> of 0 causes a division by zero, and holds are the single most common outcome in the historical sample (18 of 26 meetings).</w:t>
      </w:r>
    </w:p>
    <w:p w14:paraId="5E27DA1E" w14:textId="77777777" w:rsidR="00C10F45" w:rsidRDefault="00000000">
      <w:pPr>
        <w:pStyle w:val="Heading1"/>
        <w:spacing w:before="320" w:after="160"/>
      </w:pPr>
      <w:r>
        <w:t>4. Revised method (v2) — expected move in basis points</w:t>
      </w:r>
    </w:p>
    <w:p w14:paraId="5E27DA1F" w14:textId="77777777" w:rsidR="00C10F45" w:rsidRDefault="00000000">
      <w:pPr>
        <w:spacing w:after="160"/>
      </w:pPr>
      <w:r>
        <w:t xml:space="preserve">Rather than forcing a binary probability framing onto data that cannot support it, both sides of the comparison are now expressed as the probability-weighted expected rate change, in basis points, for the meeting. This uses the one thing each market unambiguously </w:t>
      </w:r>
      <w:proofErr w:type="gramStart"/>
      <w:r>
        <w:t>reveals, and</w:t>
      </w:r>
      <w:proofErr w:type="gramEnd"/>
      <w:r>
        <w:t xml:space="preserve"> puts both markets in the same units without needing to assume a move size in advance.</w:t>
      </w:r>
    </w:p>
    <w:p w14:paraId="5E27DA20" w14:textId="77777777" w:rsidR="00C10F45" w:rsidRDefault="00000000">
      <w:pPr>
        <w:pStyle w:val="Heading2"/>
        <w:spacing w:before="240" w:after="120"/>
      </w:pPr>
      <w:r>
        <w:lastRenderedPageBreak/>
        <w:t>4.1 Futures side (ZQ)</w:t>
      </w:r>
    </w:p>
    <w:p w14:paraId="5E27DA21" w14:textId="77777777" w:rsidR="00C10F45" w:rsidRDefault="00000000">
      <w:pPr>
        <w:spacing w:after="160"/>
      </w:pPr>
      <w:r>
        <w:t>Rearranging the same underlying relationship to solve directly for the expected move removes the move-size assumption entirely:</w:t>
      </w:r>
    </w:p>
    <w:p w14:paraId="5E27DA22" w14:textId="77777777" w:rsidR="00C10F45" w:rsidRDefault="00000000">
      <w:pPr>
        <w:spacing w:after="160"/>
      </w:pPr>
      <w:proofErr w:type="spellStart"/>
      <w:r>
        <w:rPr>
          <w:rFonts w:ascii="Consolas" w:eastAsia="Consolas" w:hAnsi="Consolas" w:cs="Consolas"/>
          <w:i/>
          <w:iCs/>
        </w:rPr>
        <w:t>expected_move_bp</w:t>
      </w:r>
      <w:proofErr w:type="spellEnd"/>
      <w:r>
        <w:rPr>
          <w:rFonts w:ascii="Consolas" w:eastAsia="Consolas" w:hAnsi="Consolas" w:cs="Consolas"/>
          <w:i/>
          <w:iCs/>
        </w:rPr>
        <w:t xml:space="preserve"> = (</w:t>
      </w:r>
      <w:proofErr w:type="spellStart"/>
      <w:r>
        <w:rPr>
          <w:rFonts w:ascii="Consolas" w:eastAsia="Consolas" w:hAnsi="Consolas" w:cs="Consolas"/>
          <w:i/>
          <w:iCs/>
        </w:rPr>
        <w:t>implied_avg_rate</w:t>
      </w:r>
      <w:proofErr w:type="spellEnd"/>
      <w:r>
        <w:rPr>
          <w:rFonts w:ascii="Consolas" w:eastAsia="Consolas" w:hAnsi="Consolas" w:cs="Consolas"/>
          <w:i/>
          <w:iCs/>
        </w:rPr>
        <w:t xml:space="preserve"> − </w:t>
      </w:r>
      <w:proofErr w:type="spellStart"/>
      <w:r>
        <w:rPr>
          <w:rFonts w:ascii="Consolas" w:eastAsia="Consolas" w:hAnsi="Consolas" w:cs="Consolas"/>
          <w:i/>
          <w:iCs/>
        </w:rPr>
        <w:t>current_rate</w:t>
      </w:r>
      <w:proofErr w:type="spellEnd"/>
      <w:r>
        <w:rPr>
          <w:rFonts w:ascii="Consolas" w:eastAsia="Consolas" w:hAnsi="Consolas" w:cs="Consolas"/>
          <w:i/>
          <w:iCs/>
        </w:rPr>
        <w:t xml:space="preserve">) / </w:t>
      </w:r>
      <w:proofErr w:type="spellStart"/>
      <w:r>
        <w:rPr>
          <w:rFonts w:ascii="Consolas" w:eastAsia="Consolas" w:hAnsi="Consolas" w:cs="Consolas"/>
          <w:i/>
          <w:iCs/>
        </w:rPr>
        <w:t>weight_after_meeting</w:t>
      </w:r>
      <w:proofErr w:type="spellEnd"/>
    </w:p>
    <w:p w14:paraId="5E27DA23" w14:textId="77777777" w:rsidR="00C10F45" w:rsidRDefault="00000000">
      <w:pPr>
        <w:spacing w:after="160"/>
      </w:pPr>
      <w:r>
        <w:t>This is well-defined for every outcome, including holds (where the expected value is naturally close to zero), and requires no branching logic.</w:t>
      </w:r>
    </w:p>
    <w:p w14:paraId="5E27DA24" w14:textId="77777777" w:rsidR="00C10F45" w:rsidRDefault="00000000">
      <w:pPr>
        <w:pStyle w:val="Heading2"/>
        <w:spacing w:before="240" w:after="120"/>
      </w:pPr>
      <w:r>
        <w:t>4.2 Kalshi side</w:t>
      </w:r>
    </w:p>
    <w:p w14:paraId="5E27DA25" w14:textId="77777777" w:rsidR="00C10F45" w:rsidRDefault="00000000">
      <w:pPr>
        <w:spacing w:after="160"/>
      </w:pPr>
      <w:r>
        <w:t>Each meeting lists 5 (occasionally 6, in early 2023 contracts) mutually exclusive outcome contracts. Kalshi's contract price is itself an implied probability (0-100c = 0-100%), so the same expected-value calculation can be built directly from real, independently-priced probabilities — something the futures side cannot support on its own:</w:t>
      </w:r>
    </w:p>
    <w:p w14:paraId="5E27DA26" w14:textId="77777777" w:rsidR="00C10F45" w:rsidRDefault="00000000">
      <w:pPr>
        <w:spacing w:after="160"/>
      </w:pPr>
      <w:proofErr w:type="spellStart"/>
      <w:r>
        <w:rPr>
          <w:rFonts w:ascii="Consolas" w:eastAsia="Consolas" w:hAnsi="Consolas" w:cs="Consolas"/>
          <w:i/>
          <w:iCs/>
        </w:rPr>
        <w:t>kalshi_expected_move_bp</w:t>
      </w:r>
      <w:proofErr w:type="spellEnd"/>
      <w:r>
        <w:rPr>
          <w:rFonts w:ascii="Consolas" w:eastAsia="Consolas" w:hAnsi="Consolas" w:cs="Consolas"/>
          <w:i/>
          <w:iCs/>
        </w:rPr>
        <w:t xml:space="preserve"> = Σ (</w:t>
      </w:r>
      <w:proofErr w:type="spellStart"/>
      <w:r>
        <w:rPr>
          <w:rFonts w:ascii="Consolas" w:eastAsia="Consolas" w:hAnsi="Consolas" w:cs="Consolas"/>
          <w:i/>
          <w:iCs/>
        </w:rPr>
        <w:t>probability_i</w:t>
      </w:r>
      <w:proofErr w:type="spellEnd"/>
      <w:r>
        <w:rPr>
          <w:rFonts w:ascii="Consolas" w:eastAsia="Consolas" w:hAnsi="Consolas" w:cs="Consolas"/>
          <w:i/>
          <w:iCs/>
        </w:rPr>
        <w:t xml:space="preserve"> × </w:t>
      </w:r>
      <w:proofErr w:type="spellStart"/>
      <w:r>
        <w:rPr>
          <w:rFonts w:ascii="Consolas" w:eastAsia="Consolas" w:hAnsi="Consolas" w:cs="Consolas"/>
          <w:i/>
          <w:iCs/>
        </w:rPr>
        <w:t>move_size_i</w:t>
      </w:r>
      <w:proofErr w:type="spellEnd"/>
      <w:r>
        <w:rPr>
          <w:rFonts w:ascii="Consolas" w:eastAsia="Consolas" w:hAnsi="Consolas" w:cs="Consolas"/>
          <w:i/>
          <w:iCs/>
        </w:rPr>
        <w:t xml:space="preserve">), across all outcome contracts </w:t>
      </w:r>
      <w:proofErr w:type="spellStart"/>
      <w:r>
        <w:rPr>
          <w:rFonts w:ascii="Consolas" w:eastAsia="Consolas" w:hAnsi="Consolas" w:cs="Consolas"/>
          <w:i/>
          <w:iCs/>
        </w:rPr>
        <w:t>i</w:t>
      </w:r>
      <w:proofErr w:type="spellEnd"/>
    </w:p>
    <w:p w14:paraId="5E27DA27" w14:textId="77777777" w:rsidR="00C10F45" w:rsidRDefault="00000000">
      <w:pPr>
        <w:spacing w:after="160"/>
      </w:pPr>
      <w:r>
        <w:t>Computed daily, using the bid/ask midpoint from Kalshi's historical candlestick data for every outcome ticker (not just the eventual winner).</w:t>
      </w:r>
    </w:p>
    <w:p w14:paraId="5E27DA28" w14:textId="77777777" w:rsidR="00C10F45" w:rsidRDefault="00000000">
      <w:pPr>
        <w:pStyle w:val="Heading2"/>
        <w:spacing w:before="240" w:after="120"/>
      </w:pPr>
      <w:r>
        <w:t>4.3 Comparison</w:t>
      </w:r>
    </w:p>
    <w:p w14:paraId="5E27DA29" w14:textId="77777777" w:rsidR="00C10F45" w:rsidRDefault="00000000">
      <w:pPr>
        <w:spacing w:after="160"/>
      </w:pPr>
      <w:r>
        <w:t>The daily spread (ZQ expected move − Kalshi expected move) is tracked across the ~60 days preceding each historical meeting, to identify periods of divergence and test whether the spread predictably narrows as the meeting approaches.</w:t>
      </w:r>
    </w:p>
    <w:p w14:paraId="5E27DA2A" w14:textId="77777777" w:rsidR="00C10F45" w:rsidRDefault="00000000">
      <w:pPr>
        <w:pStyle w:val="Heading1"/>
        <w:spacing w:before="320" w:after="160"/>
      </w:pPr>
      <w:r>
        <w:t>5. Data sources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2468"/>
        <w:gridCol w:w="2165"/>
        <w:gridCol w:w="2537"/>
      </w:tblGrid>
      <w:tr w:rsidR="00C10F45" w14:paraId="5E27DA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6F1FB"/>
          </w:tcPr>
          <w:p w14:paraId="5E27DA2B" w14:textId="77777777" w:rsidR="00C10F45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3600" w:type="dxa"/>
            <w:shd w:val="clear" w:color="auto" w:fill="E6F1FB"/>
          </w:tcPr>
          <w:p w14:paraId="5E27DA2C" w14:textId="77777777" w:rsidR="00C10F45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2200" w:type="dxa"/>
            <w:shd w:val="clear" w:color="auto" w:fill="E6F1FB"/>
          </w:tcPr>
          <w:p w14:paraId="5E27DA2D" w14:textId="77777777" w:rsidR="00C10F45" w:rsidRDefault="00000000">
            <w:r>
              <w:rPr>
                <w:b/>
                <w:bCs/>
              </w:rPr>
              <w:t>Access</w:t>
            </w:r>
          </w:p>
        </w:tc>
        <w:tc>
          <w:tcPr>
            <w:tcW w:w="3200" w:type="dxa"/>
            <w:shd w:val="clear" w:color="auto" w:fill="E6F1FB"/>
          </w:tcPr>
          <w:p w14:paraId="5E27DA2E" w14:textId="77777777" w:rsidR="00C10F45" w:rsidRDefault="00000000">
            <w:r>
              <w:rPr>
                <w:b/>
                <w:bCs/>
              </w:rPr>
              <w:t>Coverage</w:t>
            </w:r>
          </w:p>
        </w:tc>
      </w:tr>
      <w:tr w:rsidR="00C10F45" w14:paraId="5E27DA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27DA30" w14:textId="77777777" w:rsidR="00C10F45" w:rsidRDefault="00000000">
            <w:r>
              <w:t>FRED (</w:t>
            </w:r>
            <w:proofErr w:type="spellStart"/>
            <w:r>
              <w:t>fredapi</w:t>
            </w:r>
            <w:proofErr w:type="spellEnd"/>
            <w:r>
              <w:t>)</w:t>
            </w:r>
          </w:p>
        </w:tc>
        <w:tc>
          <w:tcPr>
            <w:tcW w:w="3600" w:type="dxa"/>
          </w:tcPr>
          <w:p w14:paraId="5E27DA31" w14:textId="77777777" w:rsidR="00C10F45" w:rsidRDefault="00000000">
            <w:r>
              <w:t>Effective Fed Funds Rate (DFF)</w:t>
            </w:r>
          </w:p>
        </w:tc>
        <w:tc>
          <w:tcPr>
            <w:tcW w:w="2200" w:type="dxa"/>
          </w:tcPr>
          <w:p w14:paraId="5E27DA32" w14:textId="77777777" w:rsidR="00C10F45" w:rsidRDefault="00000000">
            <w:r>
              <w:t>Free API, key required</w:t>
            </w:r>
          </w:p>
        </w:tc>
        <w:tc>
          <w:tcPr>
            <w:tcW w:w="3200" w:type="dxa"/>
          </w:tcPr>
          <w:p w14:paraId="5E27DA33" w14:textId="77777777" w:rsidR="00C10F45" w:rsidRDefault="00000000">
            <w:r>
              <w:t>Full history</w:t>
            </w:r>
          </w:p>
        </w:tc>
      </w:tr>
      <w:tr w:rsidR="00C10F45" w14:paraId="5E27DA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27DA35" w14:textId="77777777" w:rsidR="00C10F45" w:rsidRDefault="00000000">
            <w:r>
              <w:t>Kalshi API</w:t>
            </w:r>
          </w:p>
        </w:tc>
        <w:tc>
          <w:tcPr>
            <w:tcW w:w="3600" w:type="dxa"/>
          </w:tcPr>
          <w:p w14:paraId="5E27DA36" w14:textId="77777777" w:rsidR="00C10F45" w:rsidRDefault="00000000">
            <w:r>
              <w:t>FOMC contract prices, historical candlesticks (all outcome tickers per meeting)</w:t>
            </w:r>
          </w:p>
        </w:tc>
        <w:tc>
          <w:tcPr>
            <w:tcW w:w="2200" w:type="dxa"/>
          </w:tcPr>
          <w:p w14:paraId="5E27DA37" w14:textId="77777777" w:rsidR="00C10F45" w:rsidRDefault="00000000">
            <w:r>
              <w:t>Free, public endpoints</w:t>
            </w:r>
          </w:p>
        </w:tc>
        <w:tc>
          <w:tcPr>
            <w:tcW w:w="3200" w:type="dxa"/>
          </w:tcPr>
          <w:p w14:paraId="5E27DA38" w14:textId="77777777" w:rsidR="00C10F45" w:rsidRDefault="00000000">
            <w:r>
              <w:t>FEDDECISION: May 2023–Jun 2026 (~26 usable meetings). KXFEDDECISION: Jul 2026 onward, 1 finalised to date</w:t>
            </w:r>
          </w:p>
        </w:tc>
      </w:tr>
      <w:tr w:rsidR="00C10F45" w14:paraId="5E27DA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27DA3A" w14:textId="77777777" w:rsidR="00C10F45" w:rsidRDefault="00000000">
            <w:proofErr w:type="spellStart"/>
            <w:r>
              <w:t>TradingView</w:t>
            </w:r>
            <w:proofErr w:type="spellEnd"/>
            <w:r>
              <w:t xml:space="preserve"> (</w:t>
            </w:r>
            <w:proofErr w:type="spellStart"/>
            <w:r>
              <w:t>tvDatafeed</w:t>
            </w:r>
            <w:proofErr w:type="spellEnd"/>
            <w:r>
              <w:t>, unofficial)</w:t>
            </w:r>
          </w:p>
        </w:tc>
        <w:tc>
          <w:tcPr>
            <w:tcW w:w="3600" w:type="dxa"/>
          </w:tcPr>
          <w:p w14:paraId="5E27DA3B" w14:textId="77777777" w:rsidR="00C10F45" w:rsidRDefault="00000000">
            <w:r>
              <w:t>CME Fed Funds futures (ZQ) daily OHLC, resolved per meeting month/year (e.g. ZQK2023)</w:t>
            </w:r>
          </w:p>
        </w:tc>
        <w:tc>
          <w:tcPr>
            <w:tcW w:w="2200" w:type="dxa"/>
          </w:tcPr>
          <w:p w14:paraId="5E27DA3C" w14:textId="77777777" w:rsidR="00C10F45" w:rsidRDefault="00000000">
            <w:r>
              <w:t>Free, unofficial/unauthenticated scrape</w:t>
            </w:r>
          </w:p>
        </w:tc>
        <w:tc>
          <w:tcPr>
            <w:tcW w:w="3200" w:type="dxa"/>
          </w:tcPr>
          <w:p w14:paraId="5E27DA3D" w14:textId="77777777" w:rsidR="00C10F45" w:rsidRDefault="00000000">
            <w:r>
              <w:t>Working, but connection drops under sustained looped requests — retry/backoff logic required</w:t>
            </w:r>
          </w:p>
        </w:tc>
      </w:tr>
    </w:tbl>
    <w:p w14:paraId="5E27DA3F" w14:textId="77777777" w:rsidR="00C10F45" w:rsidRDefault="00000000">
      <w:pPr>
        <w:pStyle w:val="Heading1"/>
        <w:spacing w:before="320" w:after="160"/>
      </w:pPr>
      <w:r>
        <w:t>6. Progress to date</w:t>
      </w:r>
    </w:p>
    <w:p w14:paraId="5E27DA40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r>
        <w:t>Identified and worked through the flaw in the v1 single-outcome formula; redesigned around an expected-value framework that is mathematically coherent and handles holds natively</w:t>
      </w:r>
    </w:p>
    <w:p w14:paraId="5E27DA41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r>
        <w:t>Reconciled a full historical sample of 26 usable finalised FOMC meetings (May 2023–Jun 2026) across two differently-</w:t>
      </w:r>
      <w:proofErr w:type="spellStart"/>
      <w:r>
        <w:t>schemad</w:t>
      </w:r>
      <w:proofErr w:type="spellEnd"/>
      <w:r>
        <w:t xml:space="preserve"> Kalshi series (legacy FEDDECISION and current KXFEDDECISION), including one erroneous/void listing (FEDDECISION-24JAN) identified and excluded</w:t>
      </w:r>
    </w:p>
    <w:p w14:paraId="5E27DA42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r>
        <w:t>Built a ticker parser robust to three distinct outcome-labelling conventions observed across the sample (numeric threshold codes, literal '&gt;' threshold codes, and an early wide-range 'T'-prefixed convention used only in May 2023)</w:t>
      </w:r>
    </w:p>
    <w:p w14:paraId="5E27DA43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r>
        <w:t>Extended the Kalshi candlestick pull to fetch all outcome contracts per meeting (not just the eventual winner), enabling a genuine daily probability-weighted calculation rather than a single static snapshot</w:t>
      </w:r>
    </w:p>
    <w:p w14:paraId="5E27DA44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Rebuilt the full pipeline (dynamic contract-month resolution, dynamic day-count, retry logic for data source instability) to run unattended across all 26 meetings</w:t>
      </w:r>
    </w:p>
    <w:p w14:paraId="5E27DA45" w14:textId="77777777" w:rsidR="00C10F45" w:rsidRDefault="00000000">
      <w:pPr>
        <w:pStyle w:val="Heading1"/>
        <w:spacing w:before="320" w:after="160"/>
      </w:pPr>
      <w:r>
        <w:t>7. Known limitations / open questions</w:t>
      </w:r>
    </w:p>
    <w:p w14:paraId="5E27DA46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TradingView's</w:t>
      </w:r>
      <w:proofErr w:type="spellEnd"/>
      <w:r>
        <w:t xml:space="preserve"> unofficial API drops connections intermittently under sustained looped use; retry/backoff and session-</w:t>
      </w:r>
      <w:proofErr w:type="spellStart"/>
      <w:r>
        <w:t>reinitialisation</w:t>
      </w:r>
      <w:proofErr w:type="spellEnd"/>
      <w:r>
        <w:t xml:space="preserve"> logic </w:t>
      </w:r>
      <w:proofErr w:type="gramStart"/>
      <w:r>
        <w:t>has</w:t>
      </w:r>
      <w:proofErr w:type="gramEnd"/>
      <w:r>
        <w:t xml:space="preserve"> been added but is not yet fully hardened</w:t>
      </w:r>
    </w:p>
    <w:p w14:paraId="5E27DA47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r>
        <w:t>The expected-move framework has not yet been run to completion across the full 26-meeting sample; the spread distribution and any convergence pattern remain to be quantified</w:t>
      </w:r>
    </w:p>
    <w:p w14:paraId="5E27DA48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r>
        <w:t>No transaction-cost or execution-feasibility analysis yet (Kalshi fees, futures spread/commission, capital constraints)</w:t>
      </w:r>
    </w:p>
    <w:p w14:paraId="5E27DA49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TradingView's</w:t>
      </w:r>
      <w:proofErr w:type="spellEnd"/>
      <w:r>
        <w:t xml:space="preserve"> historical futures data depth for contracts more than ~2 years old has not been independently verified against a paid source</w:t>
      </w:r>
    </w:p>
    <w:p w14:paraId="5E27DA4A" w14:textId="77777777" w:rsidR="00C10F45" w:rsidRDefault="00000000">
      <w:pPr>
        <w:pStyle w:val="Heading1"/>
        <w:spacing w:before="320" w:after="160"/>
      </w:pPr>
      <w:r>
        <w:t>8. Next steps</w:t>
      </w:r>
    </w:p>
    <w:p w14:paraId="5E27DA4B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r>
        <w:t>Complete the full run across all 26 historical meetings and quantify the daily spread distribution</w:t>
      </w:r>
    </w:p>
    <w:p w14:paraId="5E27DA4C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r>
        <w:t>Test whether wide-spread periods predictably converge, and in which direction, to establish whether this is a genuine tradeable signal or noise</w:t>
      </w:r>
    </w:p>
    <w:p w14:paraId="5E27DA4D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r>
        <w:t>Extend the comparison to RBA decisions via Betfair as a secondary market pairing</w:t>
      </w:r>
    </w:p>
    <w:p w14:paraId="5E27DA4E" w14:textId="77777777" w:rsidR="00C10F45" w:rsidRDefault="00000000">
      <w:pPr>
        <w:pStyle w:val="ListParagraph"/>
        <w:numPr>
          <w:ilvl w:val="0"/>
          <w:numId w:val="1"/>
        </w:numPr>
        <w:spacing w:after="80"/>
      </w:pPr>
      <w:r>
        <w:t>If the signal holds up, define an execution and risk framework (position sizing, cost thresholds, capital at risk)</w:t>
      </w:r>
    </w:p>
    <w:sectPr w:rsidR="00C10F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35BD"/>
    <w:multiLevelType w:val="hybridMultilevel"/>
    <w:tmpl w:val="DEC02880"/>
    <w:lvl w:ilvl="0" w:tplc="26D88F0E">
      <w:start w:val="1"/>
      <w:numFmt w:val="bullet"/>
      <w:lvlText w:val="●"/>
      <w:lvlJc w:val="left"/>
      <w:pPr>
        <w:ind w:left="720" w:hanging="360"/>
      </w:pPr>
    </w:lvl>
    <w:lvl w:ilvl="1" w:tplc="6DB0641E">
      <w:start w:val="1"/>
      <w:numFmt w:val="bullet"/>
      <w:lvlText w:val="○"/>
      <w:lvlJc w:val="left"/>
      <w:pPr>
        <w:ind w:left="1440" w:hanging="360"/>
      </w:pPr>
    </w:lvl>
    <w:lvl w:ilvl="2" w:tplc="5B9CEFFA">
      <w:start w:val="1"/>
      <w:numFmt w:val="bullet"/>
      <w:lvlText w:val="■"/>
      <w:lvlJc w:val="left"/>
      <w:pPr>
        <w:ind w:left="2160" w:hanging="360"/>
      </w:pPr>
    </w:lvl>
    <w:lvl w:ilvl="3" w:tplc="CE182936">
      <w:start w:val="1"/>
      <w:numFmt w:val="bullet"/>
      <w:lvlText w:val="●"/>
      <w:lvlJc w:val="left"/>
      <w:pPr>
        <w:ind w:left="2880" w:hanging="360"/>
      </w:pPr>
    </w:lvl>
    <w:lvl w:ilvl="4" w:tplc="721276C6">
      <w:start w:val="1"/>
      <w:numFmt w:val="bullet"/>
      <w:lvlText w:val="○"/>
      <w:lvlJc w:val="left"/>
      <w:pPr>
        <w:ind w:left="3600" w:hanging="360"/>
      </w:pPr>
    </w:lvl>
    <w:lvl w:ilvl="5" w:tplc="25FC84CE">
      <w:start w:val="1"/>
      <w:numFmt w:val="bullet"/>
      <w:lvlText w:val="■"/>
      <w:lvlJc w:val="left"/>
      <w:pPr>
        <w:ind w:left="4320" w:hanging="360"/>
      </w:pPr>
    </w:lvl>
    <w:lvl w:ilvl="6" w:tplc="61F8C1D6">
      <w:start w:val="1"/>
      <w:numFmt w:val="bullet"/>
      <w:lvlText w:val="●"/>
      <w:lvlJc w:val="left"/>
      <w:pPr>
        <w:ind w:left="5040" w:hanging="360"/>
      </w:pPr>
    </w:lvl>
    <w:lvl w:ilvl="7" w:tplc="D5AE1636">
      <w:start w:val="1"/>
      <w:numFmt w:val="bullet"/>
      <w:lvlText w:val="●"/>
      <w:lvlJc w:val="left"/>
      <w:pPr>
        <w:ind w:left="5760" w:hanging="360"/>
      </w:pPr>
    </w:lvl>
    <w:lvl w:ilvl="8" w:tplc="72DCE59A">
      <w:start w:val="1"/>
      <w:numFmt w:val="bullet"/>
      <w:lvlText w:val="●"/>
      <w:lvlJc w:val="left"/>
      <w:pPr>
        <w:ind w:left="6480" w:hanging="360"/>
      </w:pPr>
    </w:lvl>
  </w:abstractNum>
  <w:num w:numId="1" w16cid:durableId="1073897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F45"/>
    <w:rsid w:val="00C10F45"/>
    <w:rsid w:val="00C21C76"/>
    <w:rsid w:val="00CE24EC"/>
    <w:rsid w:val="00F16FD4"/>
    <w:rsid w:val="00FB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DA10"/>
  <w15:docId w15:val="{B10A1821-4FB5-4CA6-B1A3-E63D9E8C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FCBAA-0057-4EF2-A7A9-31074760F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Yang</cp:lastModifiedBy>
  <cp:revision>4</cp:revision>
  <dcterms:created xsi:type="dcterms:W3CDTF">2026-09-18T02:28:00Z</dcterms:created>
  <dcterms:modified xsi:type="dcterms:W3CDTF">2026-09-18T03:19:00Z</dcterms:modified>
</cp:coreProperties>
</file>