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AD0CA2" w14:paraId="58C8C475" w14:textId="77777777" w:rsidTr="00597264">
        <w:tc>
          <w:tcPr>
            <w:tcW w:w="8290" w:type="dxa"/>
            <w:gridSpan w:val="2"/>
            <w:tcBorders>
              <w:bottom w:val="single" w:sz="4" w:space="0" w:color="auto"/>
            </w:tcBorders>
            <w:shd w:val="clear" w:color="auto" w:fill="5B9BD5" w:themeFill="accent1"/>
          </w:tcPr>
          <w:p w14:paraId="75B939CD" w14:textId="77777777" w:rsidR="00AD0CA2" w:rsidRDefault="00AD0CA2"/>
          <w:p w14:paraId="5DEB5F5D" w14:textId="77777777" w:rsidR="00AD0CA2" w:rsidRDefault="00AD0CA2"/>
          <w:p w14:paraId="29B65039" w14:textId="77777777" w:rsidR="00AD0CA2" w:rsidRDefault="00AD0CA2" w:rsidP="00597264">
            <w:pPr>
              <w:shd w:val="clear" w:color="auto" w:fill="5B9BD5" w:themeFill="accent1"/>
            </w:pPr>
          </w:p>
          <w:p w14:paraId="52306197" w14:textId="77777777" w:rsidR="00AD0CA2" w:rsidRDefault="00AD0CA2" w:rsidP="00597264">
            <w:pPr>
              <w:shd w:val="clear" w:color="auto" w:fill="5B9BD5" w:themeFill="accent1"/>
            </w:pPr>
          </w:p>
          <w:p w14:paraId="251CB141" w14:textId="77777777" w:rsidR="00AD0CA2" w:rsidRPr="00E946B5" w:rsidRDefault="00AD0CA2" w:rsidP="00597264">
            <w:pPr>
              <w:shd w:val="clear" w:color="auto" w:fill="5B9BD5" w:themeFill="accent1"/>
              <w:rPr>
                <w:rFonts w:ascii="PingFang SC Semibold" w:eastAsia="PingFang SC Semibold" w:hAnsi="PingFang SC Semibold"/>
                <w:b/>
                <w:bCs/>
              </w:rPr>
            </w:pPr>
            <w:r w:rsidRPr="00E946B5">
              <w:rPr>
                <w:rFonts w:ascii="PingFang SC Semibold" w:eastAsia="PingFang SC Semibold" w:hAnsi="PingFang SC Semibold"/>
                <w:b/>
                <w:bCs/>
                <w:color w:val="FFFFFF" w:themeColor="background1"/>
              </w:rPr>
              <w:t>Dataset statistics</w:t>
            </w:r>
          </w:p>
        </w:tc>
      </w:tr>
      <w:tr w:rsidR="00AD0CA2" w14:paraId="3FE68B49" w14:textId="77777777" w:rsidTr="00E84BC5">
        <w:trPr>
          <w:trHeight w:hRule="exact" w:val="567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29259F09" w14:textId="77777777" w:rsidR="00AD0CA2" w:rsidRPr="00E84BC5" w:rsidRDefault="00AD0CA2">
            <w:pPr>
              <w:rPr>
                <w:b/>
              </w:rPr>
            </w:pPr>
            <w:r w:rsidRPr="00E84BC5">
              <w:rPr>
                <w:b/>
              </w:rPr>
              <w:t>Nodes</w:t>
            </w:r>
          </w:p>
        </w:tc>
        <w:tc>
          <w:tcPr>
            <w:tcW w:w="4145" w:type="dxa"/>
            <w:tcBorders>
              <w:left w:val="nil"/>
            </w:tcBorders>
          </w:tcPr>
          <w:p w14:paraId="2352F0A4" w14:textId="77777777" w:rsidR="00AD0CA2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AD0CA2" w:rsidRPr="00E84BC5">
              <w:rPr>
                <w:b/>
              </w:rPr>
              <w:t>76245</w:t>
            </w:r>
          </w:p>
        </w:tc>
      </w:tr>
      <w:tr w:rsidR="00AD0CA2" w14:paraId="65B7159E" w14:textId="77777777" w:rsidTr="00E84BC5">
        <w:trPr>
          <w:trHeight w:hRule="exact" w:val="567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0A7A42D8" w14:textId="77777777" w:rsidR="00AD0CA2" w:rsidRPr="00E84BC5" w:rsidRDefault="00AD0CA2">
            <w:pPr>
              <w:rPr>
                <w:b/>
              </w:rPr>
            </w:pPr>
            <w:r w:rsidRPr="00E84BC5">
              <w:rPr>
                <w:b/>
              </w:rPr>
              <w:t>Edges</w:t>
            </w:r>
          </w:p>
        </w:tc>
        <w:tc>
          <w:tcPr>
            <w:tcW w:w="4145" w:type="dxa"/>
            <w:tcBorders>
              <w:left w:val="nil"/>
            </w:tcBorders>
          </w:tcPr>
          <w:p w14:paraId="0F630B59" w14:textId="77777777" w:rsidR="00AD0CA2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AD0CA2" w:rsidRPr="00E84BC5">
              <w:rPr>
                <w:b/>
              </w:rPr>
              <w:t>1768149</w:t>
            </w:r>
          </w:p>
        </w:tc>
      </w:tr>
      <w:tr w:rsidR="00AD0CA2" w14:paraId="7C38B250" w14:textId="77777777" w:rsidTr="00E84BC5">
        <w:trPr>
          <w:trHeight w:hRule="exact" w:val="567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3BC548C2" w14:textId="77777777" w:rsidR="00AD0CA2" w:rsidRPr="00E84BC5" w:rsidRDefault="00E84BC5" w:rsidP="00E84BC5">
            <w:pPr>
              <w:rPr>
                <w:b/>
              </w:rPr>
            </w:pPr>
            <w:r w:rsidRPr="00E84BC5">
              <w:rPr>
                <w:b/>
              </w:rPr>
              <w:t>Average Degree</w:t>
            </w:r>
          </w:p>
        </w:tc>
        <w:tc>
          <w:tcPr>
            <w:tcW w:w="4145" w:type="dxa"/>
            <w:tcBorders>
              <w:left w:val="nil"/>
            </w:tcBorders>
          </w:tcPr>
          <w:p w14:paraId="1A8505B5" w14:textId="77777777" w:rsidR="00AD0CA2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E84BC5" w:rsidRPr="00E84BC5">
              <w:rPr>
                <w:b/>
              </w:rPr>
              <w:t>21.875</w:t>
            </w:r>
          </w:p>
        </w:tc>
      </w:tr>
      <w:tr w:rsidR="00AD0CA2" w14:paraId="10482E9E" w14:textId="77777777" w:rsidTr="00E84BC5">
        <w:trPr>
          <w:trHeight w:hRule="exact" w:val="567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261DA4CB" w14:textId="77777777" w:rsidR="00AD0CA2" w:rsidRPr="00E84BC5" w:rsidRDefault="00AD0CA2" w:rsidP="00AD0CA2">
            <w:pPr>
              <w:rPr>
                <w:b/>
              </w:rPr>
            </w:pPr>
            <w:r w:rsidRPr="00E84BC5">
              <w:rPr>
                <w:b/>
              </w:rPr>
              <w:t xml:space="preserve">Average Clustering Coefficient </w:t>
            </w:r>
          </w:p>
        </w:tc>
        <w:tc>
          <w:tcPr>
            <w:tcW w:w="4145" w:type="dxa"/>
            <w:tcBorders>
              <w:left w:val="nil"/>
            </w:tcBorders>
          </w:tcPr>
          <w:p w14:paraId="5A47D1CB" w14:textId="77777777" w:rsidR="00AD0CA2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AD0CA2" w:rsidRPr="00E84BC5">
              <w:rPr>
                <w:b/>
              </w:rPr>
              <w:t>0.501</w:t>
            </w:r>
          </w:p>
        </w:tc>
      </w:tr>
      <w:tr w:rsidR="00AD0CA2" w14:paraId="19F0CDC9" w14:textId="77777777" w:rsidTr="00597264">
        <w:trPr>
          <w:trHeight w:hRule="exact" w:val="611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3C311D05" w14:textId="77777777" w:rsidR="00AD0CA2" w:rsidRPr="00E84BC5" w:rsidRDefault="00AD0CA2" w:rsidP="00AD0CA2">
            <w:pPr>
              <w:rPr>
                <w:b/>
              </w:rPr>
            </w:pPr>
            <w:r w:rsidRPr="00E84BC5">
              <w:rPr>
                <w:b/>
              </w:rPr>
              <w:t>Number of</w:t>
            </w:r>
            <w:r w:rsidR="00E84BC5" w:rsidRPr="00E84BC5">
              <w:rPr>
                <w:b/>
              </w:rPr>
              <w:t xml:space="preserve"> t</w:t>
            </w:r>
            <w:r w:rsidRPr="00E84BC5">
              <w:rPr>
                <w:b/>
              </w:rPr>
              <w:t xml:space="preserve">riangles </w:t>
            </w:r>
          </w:p>
        </w:tc>
        <w:tc>
          <w:tcPr>
            <w:tcW w:w="4145" w:type="dxa"/>
            <w:tcBorders>
              <w:left w:val="nil"/>
            </w:tcBorders>
          </w:tcPr>
          <w:p w14:paraId="43331671" w14:textId="77777777" w:rsidR="00AD0CA2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AD0CA2" w:rsidRPr="00E84BC5">
              <w:rPr>
                <w:b/>
              </w:rPr>
              <w:t>11890765</w:t>
            </w:r>
          </w:p>
        </w:tc>
      </w:tr>
      <w:tr w:rsidR="00AD0CA2" w14:paraId="409C10B5" w14:textId="77777777" w:rsidTr="00E84BC5">
        <w:trPr>
          <w:trHeight w:hRule="exact" w:val="567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46135E9A" w14:textId="77777777" w:rsidR="00AD0CA2" w:rsidRPr="00E84BC5" w:rsidRDefault="00AD0CA2">
            <w:pPr>
              <w:rPr>
                <w:b/>
              </w:rPr>
            </w:pPr>
            <w:r w:rsidRPr="00E84BC5">
              <w:rPr>
                <w:b/>
              </w:rPr>
              <w:t>Diameter (longest shortest path)</w:t>
            </w:r>
          </w:p>
        </w:tc>
        <w:tc>
          <w:tcPr>
            <w:tcW w:w="4145" w:type="dxa"/>
            <w:tcBorders>
              <w:left w:val="nil"/>
            </w:tcBorders>
          </w:tcPr>
          <w:p w14:paraId="702117D4" w14:textId="77777777" w:rsidR="00AD0CA2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E84BC5" w:rsidRPr="00E84BC5">
              <w:rPr>
                <w:b/>
              </w:rPr>
              <w:t>14</w:t>
            </w:r>
          </w:p>
        </w:tc>
      </w:tr>
      <w:tr w:rsidR="00E84BC5" w14:paraId="15D8C2B9" w14:textId="77777777" w:rsidTr="00E84BC5">
        <w:trPr>
          <w:trHeight w:hRule="exact" w:val="567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3E39D0C9" w14:textId="77777777" w:rsidR="00E84BC5" w:rsidRPr="00E84BC5" w:rsidRDefault="00E84BC5">
            <w:pPr>
              <w:rPr>
                <w:b/>
              </w:rPr>
            </w:pPr>
            <w:r>
              <w:rPr>
                <w:b/>
              </w:rPr>
              <w:t>90-percentile effective diameter</w:t>
            </w:r>
          </w:p>
        </w:tc>
        <w:tc>
          <w:tcPr>
            <w:tcW w:w="4145" w:type="dxa"/>
            <w:tcBorders>
              <w:left w:val="nil"/>
            </w:tcBorders>
          </w:tcPr>
          <w:p w14:paraId="4B0B917A" w14:textId="77777777" w:rsidR="00E84BC5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5.4</w:t>
            </w:r>
          </w:p>
        </w:tc>
      </w:tr>
      <w:tr w:rsidR="00AD0CA2" w14:paraId="2C904DBE" w14:textId="77777777" w:rsidTr="00E84BC5">
        <w:trPr>
          <w:trHeight w:hRule="exact" w:val="567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37B2FF09" w14:textId="77777777" w:rsidR="00AD0CA2" w:rsidRPr="00E84BC5" w:rsidRDefault="00E84BC5">
            <w:pPr>
              <w:rPr>
                <w:b/>
              </w:rPr>
            </w:pPr>
            <w:r w:rsidRPr="00E84BC5">
              <w:rPr>
                <w:b/>
              </w:rPr>
              <w:t>Average Path Length</w:t>
            </w:r>
          </w:p>
        </w:tc>
        <w:tc>
          <w:tcPr>
            <w:tcW w:w="4145" w:type="dxa"/>
            <w:tcBorders>
              <w:left w:val="nil"/>
            </w:tcBorders>
          </w:tcPr>
          <w:p w14:paraId="68EECF37" w14:textId="77777777" w:rsidR="00AD0CA2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E84BC5" w:rsidRPr="00E84BC5">
              <w:rPr>
                <w:b/>
              </w:rPr>
              <w:t>10</w:t>
            </w:r>
          </w:p>
        </w:tc>
      </w:tr>
      <w:tr w:rsidR="00AD0CA2" w14:paraId="7328F99B" w14:textId="77777777" w:rsidTr="00E84BC5">
        <w:trPr>
          <w:trHeight w:hRule="exact" w:val="567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370346EB" w14:textId="77777777" w:rsidR="00AD0CA2" w:rsidRPr="00E84BC5" w:rsidRDefault="00E84BC5" w:rsidP="00E84BC5">
            <w:pPr>
              <w:rPr>
                <w:b/>
              </w:rPr>
            </w:pPr>
            <w:r w:rsidRPr="00E84BC5">
              <w:rPr>
                <w:b/>
              </w:rPr>
              <w:t>Modularity with resolution</w:t>
            </w:r>
          </w:p>
        </w:tc>
        <w:tc>
          <w:tcPr>
            <w:tcW w:w="4145" w:type="dxa"/>
            <w:tcBorders>
              <w:left w:val="nil"/>
            </w:tcBorders>
          </w:tcPr>
          <w:p w14:paraId="13C4777F" w14:textId="77777777" w:rsidR="00AD0CA2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E84BC5" w:rsidRPr="00E84BC5">
              <w:rPr>
                <w:b/>
              </w:rPr>
              <w:t>0.813</w:t>
            </w:r>
          </w:p>
        </w:tc>
      </w:tr>
      <w:tr w:rsidR="00AD0CA2" w14:paraId="39FDFC85" w14:textId="77777777" w:rsidTr="00E84BC5">
        <w:trPr>
          <w:trHeight w:hRule="exact" w:val="567"/>
        </w:trPr>
        <w:tc>
          <w:tcPr>
            <w:tcW w:w="4145" w:type="dxa"/>
            <w:tcBorders>
              <w:right w:val="nil"/>
            </w:tcBorders>
            <w:shd w:val="clear" w:color="auto" w:fill="auto"/>
          </w:tcPr>
          <w:p w14:paraId="05FCB18A" w14:textId="77777777" w:rsidR="00AD0CA2" w:rsidRPr="00E84BC5" w:rsidRDefault="00E84BC5">
            <w:pPr>
              <w:rPr>
                <w:b/>
              </w:rPr>
            </w:pPr>
            <w:r w:rsidRPr="00E84BC5">
              <w:rPr>
                <w:b/>
              </w:rPr>
              <w:t>Number of Communities</w:t>
            </w:r>
          </w:p>
        </w:tc>
        <w:tc>
          <w:tcPr>
            <w:tcW w:w="4145" w:type="dxa"/>
            <w:tcBorders>
              <w:left w:val="nil"/>
            </w:tcBorders>
          </w:tcPr>
          <w:p w14:paraId="4A33A2EB" w14:textId="77777777" w:rsidR="00AD0CA2" w:rsidRPr="00E84BC5" w:rsidRDefault="00E946B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E84BC5" w:rsidRPr="00E84BC5">
              <w:rPr>
                <w:b/>
              </w:rPr>
              <w:t>336</w:t>
            </w:r>
          </w:p>
        </w:tc>
      </w:tr>
    </w:tbl>
    <w:p w14:paraId="5FCD4A6A" w14:textId="77777777" w:rsidR="00C66209" w:rsidRDefault="00C66209"/>
    <w:p w14:paraId="61ACA504" w14:textId="77777777" w:rsidR="00AD0CA2" w:rsidRDefault="00AD0CA2">
      <w:bookmarkStart w:id="0" w:name="_GoBack"/>
      <w:bookmarkEnd w:id="0"/>
    </w:p>
    <w:sectPr w:rsidR="00AD0CA2" w:rsidSect="00AD0C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ingFang SC Semibold">
    <w:panose1 w:val="020B08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E607A"/>
    <w:multiLevelType w:val="multilevel"/>
    <w:tmpl w:val="A9FCC710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  <w:b/>
        <w:sz w:val="32"/>
      </w:rPr>
    </w:lvl>
    <w:lvl w:ilvl="1">
      <w:start w:val="1"/>
      <w:numFmt w:val="decimal"/>
      <w:pStyle w:val="11"/>
      <w:isLgl/>
      <w:lvlText w:val="%1.%2"/>
      <w:lvlJc w:val="left"/>
      <w:pPr>
        <w:ind w:left="1095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55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55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15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175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535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535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895" w:hanging="252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A2"/>
    <w:rsid w:val="0019336E"/>
    <w:rsid w:val="00365117"/>
    <w:rsid w:val="00597264"/>
    <w:rsid w:val="00AD0CA2"/>
    <w:rsid w:val="00B53176"/>
    <w:rsid w:val="00B925B3"/>
    <w:rsid w:val="00C66209"/>
    <w:rsid w:val="00E84BC5"/>
    <w:rsid w:val="00E9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DF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1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.1"/>
    <w:basedOn w:val="2"/>
    <w:next w:val="3"/>
    <w:autoRedefine/>
    <w:qFormat/>
    <w:rsid w:val="00B53176"/>
    <w:pPr>
      <w:widowControl/>
      <w:numPr>
        <w:ilvl w:val="1"/>
        <w:numId w:val="2"/>
      </w:numPr>
      <w:shd w:val="clear" w:color="auto" w:fill="FFFFFF"/>
      <w:spacing w:before="0" w:beforeAutospacing="1" w:after="0" w:afterAutospacing="1" w:line="240" w:lineRule="auto"/>
    </w:pPr>
    <w:rPr>
      <w:rFonts w:ascii="Tahoma" w:eastAsia="Tahoma" w:hAnsi="Tahoma" w:cs="Tahoma"/>
      <w:color w:val="444444"/>
      <w:kern w:val="0"/>
      <w:sz w:val="24"/>
    </w:rPr>
  </w:style>
  <w:style w:type="character" w:customStyle="1" w:styleId="20">
    <w:name w:val="标题 2字符"/>
    <w:basedOn w:val="a0"/>
    <w:link w:val="2"/>
    <w:uiPriority w:val="9"/>
    <w:semiHidden/>
    <w:rsid w:val="00B531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B53176"/>
    <w:rPr>
      <w:b/>
      <w:bCs/>
      <w:sz w:val="32"/>
      <w:szCs w:val="32"/>
    </w:rPr>
  </w:style>
  <w:style w:type="paragraph" w:customStyle="1" w:styleId="111">
    <w:name w:val="标题1.1.1"/>
    <w:basedOn w:val="3"/>
    <w:autoRedefine/>
    <w:qFormat/>
    <w:rsid w:val="00B53176"/>
    <w:pPr>
      <w:widowControl/>
      <w:shd w:val="clear" w:color="auto" w:fill="FFFFFF"/>
      <w:spacing w:before="100" w:beforeAutospacing="1" w:after="100" w:afterAutospacing="1" w:line="240" w:lineRule="auto"/>
      <w:ind w:left="1095"/>
    </w:pPr>
    <w:rPr>
      <w:rFonts w:ascii="Tahoma" w:eastAsia="Tahoma" w:hAnsi="Tahoma" w:cs="Tahoma"/>
      <w:i/>
      <w:color w:val="444444"/>
      <w:kern w:val="0"/>
      <w:sz w:val="24"/>
    </w:rPr>
  </w:style>
  <w:style w:type="paragraph" w:customStyle="1" w:styleId="12">
    <w:name w:val="标题1"/>
    <w:basedOn w:val="1"/>
    <w:autoRedefine/>
    <w:qFormat/>
    <w:rsid w:val="00B53176"/>
    <w:pPr>
      <w:widowControl/>
      <w:shd w:val="clear" w:color="auto" w:fill="FFFFFF"/>
      <w:spacing w:before="0" w:beforeAutospacing="1" w:after="0" w:afterAutospacing="1"/>
      <w:ind w:left="502" w:hanging="360"/>
    </w:pPr>
    <w:rPr>
      <w:rFonts w:ascii="Tahoma" w:eastAsia="Tahoma" w:hAnsi="Tahoma" w:cs="Tahoma"/>
      <w:bCs w:val="0"/>
      <w:color w:val="444444"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53176"/>
    <w:rPr>
      <w:b/>
      <w:bCs/>
      <w:kern w:val="44"/>
      <w:sz w:val="44"/>
      <w:szCs w:val="44"/>
    </w:rPr>
  </w:style>
  <w:style w:type="paragraph" w:styleId="13">
    <w:name w:val="toc 1"/>
    <w:basedOn w:val="a"/>
    <w:next w:val="a"/>
    <w:autoRedefine/>
    <w:uiPriority w:val="39"/>
    <w:unhideWhenUsed/>
    <w:rsid w:val="00B53176"/>
    <w:pPr>
      <w:spacing w:before="120"/>
      <w:jc w:val="left"/>
    </w:pPr>
    <w:rPr>
      <w:rFonts w:eastAsiaTheme="majorEastAsia"/>
      <w:b/>
      <w:bCs/>
      <w:caps/>
      <w:sz w:val="22"/>
      <w:szCs w:val="22"/>
    </w:rPr>
  </w:style>
  <w:style w:type="table" w:styleId="a3">
    <w:name w:val="Table Grid"/>
    <w:basedOn w:val="a1"/>
    <w:uiPriority w:val="39"/>
    <w:rsid w:val="00AD0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2018-08-24T12:34:00Z</dcterms:created>
  <dcterms:modified xsi:type="dcterms:W3CDTF">2018-08-24T12:34:00Z</dcterms:modified>
</cp:coreProperties>
</file>