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FFF"/>
          <w:sz w:val="18"/>
          <w:szCs w:val="18"/>
        </w:rPr>
        <w:t xml:space="preserve">[PRODUCT NAME]  •  SALES-LED OVERVIEW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Every inbound email, tracked, summarized, deck-ready.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Turn your sales@ inbox into a working pipeline. Lead summaries, automatic tracking, and a Monday-morning report — without your team typing a word.</w:t>
      </w:r>
    </w:p>
    <w:p>
      <w:pPr>
        <w:pBdr>
          <w:bottom w:val="single" w:color="1F4FFF" w:sz="6" w:space="1"/>
        </w:pBd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problem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Most B2B teams lose 1 in 4 inbound leads to follow-up gaps. Not because the leads are bad. Because nobody summarized the thread on day one, and by Friday it was buried under reply-alls. Reps don't update the CRM, the manager can't see the pipeline, and the deal that should have been won never gets a second touch.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What [Product Name]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Read once, never again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Every relevant inbound gets a 200-word summary the moment it arrives — sender intent, requirements, budget signals, priority.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Your CRM, finally up to date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Each lead is logged in a master tracker with status, owner, and last-touched date. Duplicates auto-merge. No prompting.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Monday decks, written for you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Every week, a slide deck and Excel summary of new opportunities and pipeline health, delivered to your inbox.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Connect your inbox in 90 seconds — Gmail, Outlook, or shared sales@. No IT ticket needed.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[Product Name] watches for new leads, summarizes each one, and adds it to your tracker.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Monday at 8am you receive a slide deck and Excel summary, ready to forward.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Why teams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“We were losing 1 in 4 leads to follow-up gaps. With [Product Name] running on our shared sales@ inbox, that dropped to under 1 in 20. The Monday deck alone saved my Sales Ops Lead a full day a week.”  — [Customer Name], [Title], [Company]</w:t>
            </w:r>
          </w:p>
        </w:tc>
      </w:tr>
    </w:tbl>
    <w:p>
      <w:pPr>
        <w:pBdr>
          <w:bottom w:val="single" w:color="1F4FFF" w:sz="6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FFF"/>
          <w:sz w:val="22"/>
          <w:szCs w:val="22"/>
        </w:rPr>
        <w:t xml:space="preserve">Book a 15-minute demo  •  [calendar link]  •  hello@[product-name].com  •  [website]</w:t>
      </w:r>
    </w:p>
    <w:p>
      <w:r>
        <w:br w:type="pag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FFF"/>
          <w:sz w:val="18"/>
          <w:szCs w:val="18"/>
        </w:rPr>
        <w:t xml:space="preserve">[PRODUCT NAME]  •  PRIVACY-LED OVERVIEW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Your inbox is yours. The AI runs locally.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[Product Name] is the only inbound-lead automation platform where customer email content never leaves your hardware. No third-party LLM. No data exhaust. No surprises in your security review.</w:t>
      </w:r>
    </w:p>
    <w:p>
      <w:pPr>
        <w:pBdr>
          <w:bottom w:val="single" w:color="1F4FFF" w:sz="6" w:space="1"/>
        </w:pBd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Why this matters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Most “AI for inbox” tools ship customer email content to a third-party LLM. Names, contracts, pricing, roadmaps — all of it leaves your perimeter and lands in someone else's logs. For regulated B2B teams (financial services, healthcare, legal, EU-based), this is a non-starter. GDPR Article 44 restricts international transfers. SOC 2 auditors flag third-party AI vendors. Customer MSAs forbid it. [Product Name] was built for that constraint.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How we're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Local AI, by default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Open-source LLM (Ollama-based) runs on customer hardware. No third-party LLM call. Same architecture for every customer.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Two topologies, one codebase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Choose SaaS or fully on-premise. Two clean abstraction seams in the code make this a configuration choice, not a fork.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Designed for the audit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Append-only audit logs. Documented data classification. DPA template available. SOC 2 Type II is on the roadmap.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What we will not 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send your email content to a third-party LLM API.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retain customer data for model training. Ever.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deploy on infrastructure your security team has not approved.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silently change deployment topologies after a contract is signed.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Compliance posture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Today: DPA template, exportable audit logs, local-AI architecture.   In progress: SOC 2 Type II readiness assessment.   On request: GDPR Article 44 attestation pack, customer-specific security review checklist.</w:t>
            </w:r>
          </w:p>
        </w:tc>
      </w:tr>
    </w:tbl>
    <w:p>
      <w:pPr>
        <w:pBdr>
          <w:bottom w:val="single" w:color="1F4FFF" w:sz="6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FFF"/>
          <w:sz w:val="22"/>
          <w:szCs w:val="22"/>
        </w:rPr>
        <w:t xml:space="preserve">Request a security review packet  •  security@[product-name].com  •  [website]/security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Pipelane — Sales One-Pager</dc:title>
  <dc:creator>Pipelane</dc:creator>
  <cp:lastModifiedBy>Un-named</cp:lastModifiedBy>
  <cp:revision>1</cp:revision>
  <dcterms:created xsi:type="dcterms:W3CDTF">2026-04-29T18:53:06.523Z</dcterms:created>
  <dcterms:modified xsi:type="dcterms:W3CDTF">2026-04-29T18:53:06.523Z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