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1440" w:right="333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1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CIN:U72900KA2021PTC154011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address.street +++ </w:t>
            <w:br w:type="textWrapping"/>
            <w:t xml:space="preserve">+++= address.city +++  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address.postalcode +++,  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address.country +++ 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T: +++= phone_number +++ 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email +++ </w:t>
            <w:br w:type="textWrapping"/>
            <w:t xml:space="preserve">+++= company_website +++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before="400" w:lineRule="auto"/>
      <w:ind w:right="-3150" w:hanging="1170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widowControl w:val="0"/>
            <w:spacing w:before="0" w:line="240" w:lineRule="auto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 U72900KA2021PTC154011</w:t>
          </w:r>
        </w:p>
        <w:p w:rsidR="00000000" w:rsidDel="00000000" w:rsidP="00000000" w:rsidRDefault="00000000" w:rsidRPr="00000000" w14:paraId="00000020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#. 123 NOVEL TECH PARK KUDULU GATE</w:t>
            <w:br w:type="textWrapping"/>
            <w:t xml:space="preserve">BANGALORE  560 068, INDIA</w:t>
            <w:br w:type="textWrapping"/>
            <w:t xml:space="preserve">T: 6364434452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contact</w:t>
          </w:r>
          <w:hyperlink r:id="rId1">
            <w:r w:rsidDel="00000000" w:rsidR="00000000" w:rsidRPr="00000000">
              <w:rPr>
                <w:rFonts w:ascii="Montserrat Light" w:cs="Montserrat Light" w:eastAsia="Montserrat Light" w:hAnsi="Montserrat Light"/>
                <w:color w:val="434343"/>
                <w:sz w:val="16"/>
                <w:szCs w:val="16"/>
                <w:rtl w:val="0"/>
              </w:rPr>
              <w:t xml:space="preserve">@</w:t>
            </w:r>
          </w:hyperlink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zynomi.com</w:t>
            <w:br w:type="textWrapping"/>
            <w:t xml:space="preserve">www.zynomi.com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16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520" w:firstLine="0"/>
      <w:jc w:val="righ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+++IMAGE =logo +++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a5Y9nTBiZato/WqfyYRS+gcUw==">AMUW2mUe1ZemrWjQeWFLF/jm+qj9uF9B6RXNcDFCm18HDRqetAMHEvKMV8Q4nasA3py7hsx8vjcHTBHhVn8nmAMcP6LMbKw49RgUjVhGI1OXImoXk0kwjjw=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