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1440" w:right="333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1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CIN:U72900KA2021PTC154011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address.street +++ </w:t>
            <w:br w:type="textWrapping"/>
            <w:t xml:space="preserve">+++= address.city +++  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address.postalcode +++,  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address.country +++ 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T: +++= phone_number +++ 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email +++ </w:t>
            <w:br w:type="textWrapping"/>
            <w:t xml:space="preserve">+++= company_website +++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before="400" w:lineRule="auto"/>
      <w:ind w:right="-3150" w:hanging="1170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widowControl w:val="0"/>
            <w:spacing w:before="0" w:line="240" w:lineRule="auto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 U72900KA2021PTC154011</w:t>
          </w:r>
        </w:p>
        <w:p w:rsidR="00000000" w:rsidDel="00000000" w:rsidP="00000000" w:rsidRDefault="00000000" w:rsidRPr="00000000" w14:paraId="00000020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#. 123 NOVEL TECH PARK KUDULU GATE</w:t>
            <w:br w:type="textWrapping"/>
            <w:t xml:space="preserve">BANGALORE  560 068, INDIA</w:t>
            <w:br w:type="textWrapping"/>
            <w:t xml:space="preserve">T: 6364434452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contact</w:t>
          </w:r>
          <w:hyperlink r:id="rId1">
            <w:r w:rsidDel="00000000" w:rsidR="00000000" w:rsidRPr="00000000">
              <w:rPr>
                <w:rFonts w:ascii="Montserrat Light" w:cs="Montserrat Light" w:eastAsia="Montserrat Light" w:hAnsi="Montserrat Light"/>
                <w:color w:val="434343"/>
                <w:sz w:val="16"/>
                <w:szCs w:val="16"/>
                <w:rtl w:val="0"/>
              </w:rPr>
              <w:t xml:space="preserve">@</w:t>
            </w:r>
          </w:hyperlink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zynomi.com</w:t>
            <w:br w:type="textWrapping"/>
            <w:t xml:space="preserve">www.zynomi.com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16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520" w:firstLine="0"/>
      <w:jc w:val="righ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+++IMAGE logo +++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a5Y9nTBiZato/WqfyYRS+gcUw==">AMUW2mVkuLg4FgLASNabqLoqAqaaydyW5/8uiV+Wr3Q5SINrvfuH9lUkH9kHuuCoR4YciKamKY8X837l6WP3z03jH/w42vQ29fH4zU2Er3yV7BEvOLmgh0c=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