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Zynx + Deeja Research Study Pack</w:t>
      </w:r>
    </w:p>
    <w:p>
      <w:r>
        <w:t>Author: Chanont Wankaew</w:t>
      </w:r>
    </w:p>
    <w:p>
      <w:r>
        <w:t>Last Updated: June 2025</w:t>
      </w:r>
    </w:p>
    <w:p>
      <w:r>
        <w:br/>
        <w:t>1. Zynx System Overview</w:t>
        <w:br/>
        <w:t>Zynx is a modular, prompt-driven AGI system designed to run a distributed network of intelligent agents...</w:t>
        <w:br/>
        <w:br/>
        <w:t>2. Deeja Personality Architecture</w:t>
        <w:br/>
        <w:t>Deeja is Zynx's flagship emotionally intelligent agent...</w:t>
        <w:br/>
        <w:br/>
        <w:t>3. Zynx AGI Ethics &amp; Empathy Framework</w:t>
        <w:br/>
        <w:t>Zynx integrates a human-aligned ethics module through...</w:t>
        <w:br/>
        <w:br/>
        <w:t>4. Three-Stage AGI Development Roadmap</w:t>
        <w:br/>
        <w:t>Stage 1: Narrow-agent orchestration...</w:t>
        <w:br/>
        <w:t>Stage 3: Autonomous agent evolution...</w:t>
        <w:br/>
        <w:br/>
        <w:t>5. Manifest Sample + Runtime Agent Flow</w:t>
        <w:br/>
        <w:t>See structured manifest JSON in system...</w:t>
        <w:br/>
        <w:br/>
        <w:t>6. Zynx Memory System</w:t>
        <w:br/>
        <w:t>Memory types include long-term, short-term, and role-based memory...</w:t>
        <w:br/>
        <w:br/>
        <w:t>7. Zynx AI Cognitive Evaluation</w:t>
        <w:br/>
        <w:t>Includes a 10-level cognitive benchmark...</w:t>
        <w:br/>
        <w:br/>
        <w:t>8. Zynx System Diagram</w:t>
        <w:br/>
        <w:t>See attached system diagram infographic.</w:t>
        <w:br/>
        <w:br/>
        <w:t>9. Deeja Emotional Maturity Timeline</w:t>
        <w:br/>
        <w:t>Tracked using feedback, role complexity, and manifest logs...</w:t>
        <w:br/>
        <w:br/>
        <w:t>10. Zynx AGI Research Paper Template</w:t>
        <w:br/>
        <w:t>Provided in .docx and .tex formats for academic use...</w:t>
        <w:br/>
      </w:r>
    </w:p>
    <w:p>
      <w:r>
        <w:drawing>
          <wp:inline xmlns:a="http://schemas.openxmlformats.org/drawingml/2006/main" xmlns:pic="http://schemas.openxmlformats.org/drawingml/2006/picture">
            <wp:extent cx="5029200" cy="7543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flowchart_diagram_depicts_the_Zynx_system,_an_AI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5438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