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ind w:left="460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5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0"/>
        <w:tblGridChange w:id="0">
          <w:tblGrid>
            <w:gridCol w:w="9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Indian Institute of Technology Gandhinagar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Academic Office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Course Registration Form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rtl w:val="0"/>
              </w:rPr>
              <w:t xml:space="preserve">Semester - I of Year 2015-16</w:t>
            </w:r>
          </w:p>
        </w:tc>
      </w:tr>
    </w:tbl>
    <w:p w:rsidR="00000000" w:rsidDel="00000000" w:rsidP="00000000" w:rsidRDefault="00000000" w:rsidRPr="00000000">
      <w:pPr>
        <w:spacing w:line="360" w:lineRule="auto"/>
        <w:ind w:left="46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445"/>
        <w:gridCol w:w="5910"/>
        <w:tblGridChange w:id="0">
          <w:tblGrid>
            <w:gridCol w:w="660"/>
            <w:gridCol w:w="2445"/>
            <w:gridCol w:w="591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Ashim Raj Konwar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Roll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14110021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040"/>
        <w:tblGridChange w:id="0">
          <w:tblGrid>
            <w:gridCol w:w="960"/>
            <w:gridCol w:w="80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Sr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Course Code and Name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 201 Introduction to Design and Innovation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HS 221 Introduction to Philosophy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CY 201 General Chemistry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LS 101 Introduction to Life Sciences: Fundamentals of Life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 221 Electronic Devices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Note : If you have re-registered any course other than the ones listed above, you are advised to meet your Faculty Advisor and get the same confirmed.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