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240"/>
        <w:jc w:val="center"/>
      </w:pPr>
      <w:r>
        <w:rPr>
          <w:rFonts w:ascii="Arial" w:cs="Arial" w:eastAsia="Arial" w:hAnsi="Arial"/>
          <w:b/>
          <w:bCs/>
          <w:color w:val="1A6B8A"/>
          <w:sz w:val="72"/>
          <w:szCs w:val="72"/>
        </w:rPr>
        <w:t xml:space="preserve">ZYPHER</w:t>
      </w:r>
    </w:p>
    <w:p>
      <w:pPr>
        <w:spacing w:after="80" w:before="0"/>
        <w:jc w:val="center"/>
      </w:pPr>
      <w:r>
        <w:rPr>
          <w:rFonts w:ascii="Arial" w:cs="Arial" w:eastAsia="Arial" w:hAnsi="Arial"/>
          <w:b/>
          <w:bCs/>
          <w:color w:val="2E8B57"/>
          <w:sz w:val="48"/>
          <w:szCs w:val="48"/>
        </w:rPr>
        <w:t xml:space="preserve">ZPH</w:t>
      </w:r>
    </w:p>
    <w:p>
      <w:pPr>
        <w:spacing w:after="80" w:before="80"/>
        <w:jc w:val="center"/>
      </w:pPr>
      <w:r>
        <w:rPr>
          <w:rFonts w:ascii="Arial" w:cs="Arial" w:eastAsia="Arial" w:hAnsi="Arial"/>
          <w:color w:val="444444"/>
          <w:sz w:val="28"/>
          <w:szCs w:val="28"/>
        </w:rPr>
        <w:t xml:space="preserve">Healthcare Payments Infrastructure on Solana</w:t>
      </w:r>
    </w:p>
    <w:p>
      <w:pPr>
        <w:pBdr>
          <w:bottom w:val="single" w:color="1A6B8A" w:sz="4" w:space="1"/>
        </w:pBdr>
        <w:spacing w:after="160" w:before="160"/>
      </w:pPr>
      <w:r>
        <w:t xml:space="preserve"/>
      </w:r>
    </w:p>
    <w:p>
      <w:pPr>
        <w:spacing w:after="80" w:before="80"/>
        <w:jc w:val="center"/>
      </w:pPr>
      <w:r>
        <w:rPr>
          <w:rFonts w:ascii="Arial" w:cs="Arial" w:eastAsia="Arial" w:hAnsi="Arial"/>
          <w:color w:val="888888"/>
          <w:sz w:val="20"/>
          <w:szCs w:val="20"/>
        </w:rPr>
        <w:t xml:space="preserve">Official Whitepaper  |  Version 1.0  |  March 2026</w:t>
      </w:r>
    </w:p>
    <w:p>
      <w:pPr>
        <w:spacing w:after="240" w:before="40"/>
        <w:jc w:val="center"/>
      </w:pPr>
      <w:r>
        <w:rPr>
          <w:rFonts w:ascii="Arial" w:cs="Arial" w:eastAsia="Arial" w:hAnsi="Arial"/>
          <w:color w:val="1A6B8A"/>
          <w:sz w:val="20"/>
          <w:szCs w:val="20"/>
        </w:rPr>
        <w:t xml:space="preserve">zypherthecoin.github.io/Zypher</w:t>
      </w:r>
    </w:p>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120" w:before="360"/>
      </w:pPr>
      <w:r>
        <w:rPr>
          <w:rFonts w:ascii="Arial" w:cs="Arial" w:eastAsia="Arial" w:hAnsi="Arial"/>
          <w:b/>
          <w:bCs/>
          <w:color w:val="1A6B8A"/>
          <w:sz w:val="36"/>
          <w:szCs w:val="36"/>
        </w:rPr>
        <w:t xml:space="preserve">1. Abstract</w:t>
      </w:r>
    </w:p>
    <w:p>
      <w:pPr>
        <w:spacing w:after="80" w:before="80"/>
      </w:pPr>
      <w:r>
        <w:rPr>
          <w:rFonts w:ascii="Arial" w:cs="Arial" w:eastAsia="Arial" w:hAnsi="Arial"/>
          <w:sz w:val="22"/>
          <w:szCs w:val="22"/>
        </w:rPr>
        <w:t xml:space="preserve">Zypher (ZPH) is a Solana-based cryptocurrency project designed to serve as the foundational infrastructure layer for healthcare payments in the United States. The American healthcare system suffers from a structural breakdown at the data layer: provider directories are notoriously inaccurate, billing systems are fragmented, and hospitals lose more than $80 billion annually to uncompensated care.</w:t>
      </w:r>
    </w:p>
    <w:p>
      <w:pPr>
        <w:spacing w:after="80" w:before="80"/>
      </w:pPr>
      <w:r>
        <w:t xml:space="preserve"/>
      </w:r>
    </w:p>
    <w:p>
      <w:pPr>
        <w:spacing w:after="80" w:before="80"/>
      </w:pPr>
      <w:r>
        <w:rPr>
          <w:rFonts w:ascii="Arial" w:cs="Arial" w:eastAsia="Arial" w:hAnsi="Arial"/>
          <w:sz w:val="22"/>
          <w:szCs w:val="22"/>
        </w:rPr>
        <w:t xml:space="preserve">Zypher addresses this crisis by building verified, on-chain provider data infrastructure connected directly to federal data pipelines — including NPPES (National Plan and Provider Enumeration System), CMS (Centers for Medicare &amp; Medicaid Services), and HRSA (Health Resources &amp; Services Administration). ZPH powers this system as the primary infrastructure token, with a planned Phase 2 stable payment token (zCARE) designed specifically for healthcare transactions.</w:t>
      </w:r>
    </w:p>
    <w:p>
      <w:pPr>
        <w:spacing w:after="80" w:before="80"/>
      </w:pPr>
      <w:r>
        <w:t xml:space="preserve"/>
      </w:r>
    </w:p>
    <w:p>
      <w:pPr>
        <w:spacing w:after="80" w:before="80"/>
      </w:pPr>
      <w:r>
        <w:rPr>
          <w:rFonts w:ascii="Arial" w:cs="Arial" w:eastAsia="Arial" w:hAnsi="Arial"/>
          <w:sz w:val="22"/>
          <w:szCs w:val="22"/>
        </w:rPr>
        <w:t xml:space="preserve">Built on Solana for its high throughput, low fees, and composability, Zypher represents a convergence of decentralized finance and real-world healthcare utility.</w:t>
      </w:r>
    </w:p>
    <w:p>
      <w:pPr>
        <w:pBdr>
          <w:bottom w:val="single" w:color="1A6B8A" w:sz="4" w:space="1"/>
        </w:pBdr>
        <w:spacing w:after="160" w:before="160"/>
      </w:pPr>
      <w:r>
        <w:t xml:space="preserve"/>
      </w:r>
    </w:p>
    <w:p>
      <w:pPr>
        <w:pStyle w:val="Heading1"/>
        <w:spacing w:after="120" w:before="360"/>
      </w:pPr>
      <w:r>
        <w:rPr>
          <w:rFonts w:ascii="Arial" w:cs="Arial" w:eastAsia="Arial" w:hAnsi="Arial"/>
          <w:b/>
          <w:bCs/>
          <w:color w:val="1A6B8A"/>
          <w:sz w:val="36"/>
          <w:szCs w:val="36"/>
        </w:rPr>
        <w:t xml:space="preserve">2. The Problem: Healthcare Payments Are Broken</w:t>
      </w:r>
    </w:p>
    <w:p>
      <w:pPr>
        <w:pStyle w:val="Heading2"/>
        <w:spacing w:after="80" w:before="240"/>
      </w:pPr>
      <w:r>
        <w:rPr>
          <w:rFonts w:ascii="Arial" w:cs="Arial" w:eastAsia="Arial" w:hAnsi="Arial"/>
          <w:b/>
          <w:bCs/>
          <w:color w:val="2E8B57"/>
          <w:sz w:val="28"/>
          <w:szCs w:val="28"/>
        </w:rPr>
        <w:t xml:space="preserve">2.1 The $80 Billion Uncompensated Care Crisis</w:t>
      </w:r>
    </w:p>
    <w:p>
      <w:pPr>
        <w:spacing w:after="80" w:before="80"/>
      </w:pPr>
      <w:r>
        <w:rPr>
          <w:rFonts w:ascii="Arial" w:cs="Arial" w:eastAsia="Arial" w:hAnsi="Arial"/>
          <w:sz w:val="22"/>
          <w:szCs w:val="22"/>
        </w:rPr>
        <w:t xml:space="preserve">Each year, U.S. hospitals absorb over $80 billion in uncompensated care — services rendered to patients who are uninsured, underinsured, or whose claims fail during billing due to data errors. This figure, tracked and published annually by the American Hospital Association, does not reflect poor clinical outcomes. It reflects a broken payment infrastructure.</w:t>
      </w:r>
    </w:p>
    <w:p>
      <w:pPr>
        <w:spacing w:after="80" w:before="80"/>
      </w:pPr>
      <w:r>
        <w:t xml:space="preserve"/>
      </w:r>
    </w:p>
    <w:p>
      <w:pPr>
        <w:spacing w:after="80" w:before="80"/>
      </w:pPr>
      <w:r>
        <w:rPr>
          <w:rFonts w:ascii="Arial" w:cs="Arial" w:eastAsia="Arial" w:hAnsi="Arial"/>
          <w:sz w:val="22"/>
          <w:szCs w:val="22"/>
        </w:rPr>
        <w:t xml:space="preserve">The root causes are systemic:</w:t>
      </w:r>
    </w:p>
    <w:p>
      <w:pPr>
        <w:pStyle w:val="ListParagraph"/>
        <w:numPr>
          <w:ilvl w:val="0"/>
          <w:numId w:val="2"/>
        </w:numPr>
        <w:spacing w:after="40" w:before="40"/>
      </w:pPr>
      <w:r>
        <w:rPr>
          <w:rFonts w:ascii="Arial" w:cs="Arial" w:eastAsia="Arial" w:hAnsi="Arial"/>
          <w:sz w:val="22"/>
          <w:szCs w:val="22"/>
        </w:rPr>
        <w:t xml:space="preserve">Provider directories maintained by payers and health systems are frequently outdated, with error rates cited as high as 50% in certain markets</w:t>
      </w:r>
    </w:p>
    <w:p>
      <w:pPr>
        <w:pStyle w:val="ListParagraph"/>
        <w:numPr>
          <w:ilvl w:val="0"/>
          <w:numId w:val="2"/>
        </w:numPr>
        <w:spacing w:after="40" w:before="40"/>
      </w:pPr>
      <w:r>
        <w:rPr>
          <w:rFonts w:ascii="Arial" w:cs="Arial" w:eastAsia="Arial" w:hAnsi="Arial"/>
          <w:sz w:val="22"/>
          <w:szCs w:val="22"/>
        </w:rPr>
        <w:t xml:space="preserve">Patient eligibility verification failures result in claims denials that cannot be corrected retroactively</w:t>
      </w:r>
    </w:p>
    <w:p>
      <w:pPr>
        <w:pStyle w:val="ListParagraph"/>
        <w:numPr>
          <w:ilvl w:val="0"/>
          <w:numId w:val="2"/>
        </w:numPr>
        <w:spacing w:after="40" w:before="40"/>
      </w:pPr>
      <w:r>
        <w:rPr>
          <w:rFonts w:ascii="Arial" w:cs="Arial" w:eastAsia="Arial" w:hAnsi="Arial"/>
          <w:sz w:val="22"/>
          <w:szCs w:val="22"/>
        </w:rPr>
        <w:t xml:space="preserve">Fragmented billing systems lack interoperability, creating reconciliation gaps between providers, payers, and clearinghouses</w:t>
      </w:r>
    </w:p>
    <w:p>
      <w:pPr>
        <w:pStyle w:val="ListParagraph"/>
        <w:numPr>
          <w:ilvl w:val="0"/>
          <w:numId w:val="2"/>
        </w:numPr>
        <w:spacing w:after="40" w:before="40"/>
      </w:pPr>
      <w:r>
        <w:rPr>
          <w:rFonts w:ascii="Arial" w:cs="Arial" w:eastAsia="Arial" w:hAnsi="Arial"/>
          <w:sz w:val="22"/>
          <w:szCs w:val="22"/>
        </w:rPr>
        <w:t xml:space="preserve">No unified, authoritative, real-time source of provider truth exists at a national level</w:t>
      </w:r>
    </w:p>
    <w:p>
      <w:pPr>
        <w:spacing w:after="80" w:before="80"/>
      </w:pPr>
      <w:r>
        <w:t xml:space="preserve"/>
      </w:r>
    </w:p>
    <w:p>
      <w:pPr>
        <w:pStyle w:val="Heading2"/>
        <w:spacing w:after="80" w:before="240"/>
      </w:pPr>
      <w:r>
        <w:rPr>
          <w:rFonts w:ascii="Arial" w:cs="Arial" w:eastAsia="Arial" w:hAnsi="Arial"/>
          <w:b/>
          <w:bCs/>
          <w:color w:val="2E8B57"/>
          <w:sz w:val="28"/>
          <w:szCs w:val="28"/>
        </w:rPr>
        <w:t xml:space="preserve">2.2 The Data Layer Failure</w:t>
      </w:r>
    </w:p>
    <w:p>
      <w:pPr>
        <w:spacing w:after="80" w:before="80"/>
      </w:pPr>
      <w:r>
        <w:rPr>
          <w:rFonts w:ascii="Arial" w:cs="Arial" w:eastAsia="Arial" w:hAnsi="Arial"/>
          <w:sz w:val="22"/>
          <w:szCs w:val="22"/>
        </w:rPr>
        <w:t xml:space="preserve">The federal government maintains several authoritative provider data registries — most notably the NPPES NPI Registry, which assigns National Provider Identifiers to every licensed healthcare provider in the United States. However, this data exists in siloed, batch-updated formats that are not natively composable with modern payment infrastructure.</w:t>
      </w:r>
    </w:p>
    <w:p>
      <w:pPr>
        <w:spacing w:after="80" w:before="80"/>
      </w:pPr>
      <w:r>
        <w:t xml:space="preserve"/>
      </w:r>
    </w:p>
    <w:p>
      <w:pPr>
        <w:spacing w:after="80" w:before="80"/>
      </w:pPr>
      <w:r>
        <w:rPr>
          <w:rFonts w:ascii="Arial" w:cs="Arial" w:eastAsia="Arial" w:hAnsi="Arial"/>
          <w:sz w:val="22"/>
          <w:szCs w:val="22"/>
        </w:rPr>
        <w:t xml:space="preserve">Payers and clearinghouses that rely on this data must ingest it manually, reconcile it against internal directories, and re-verify it at irregular intervals. The result is a persistent data lag that causes real financial harm — denied claims, delayed reimbursements, and care that goes unbilled.</w:t>
      </w:r>
    </w:p>
    <w:p>
      <w:pPr>
        <w:spacing w:after="80" w:before="80"/>
      </w:pPr>
      <w:r>
        <w:t xml:space="preserve"/>
      </w:r>
    </w:p>
    <w:p>
      <w:pPr>
        <w:pStyle w:val="Heading2"/>
        <w:spacing w:after="80" w:before="240"/>
      </w:pPr>
      <w:r>
        <w:rPr>
          <w:rFonts w:ascii="Arial" w:cs="Arial" w:eastAsia="Arial" w:hAnsi="Arial"/>
          <w:b/>
          <w:bCs/>
          <w:color w:val="2E8B57"/>
          <w:sz w:val="28"/>
          <w:szCs w:val="28"/>
        </w:rPr>
        <w:t xml:space="preserve">2.3 Why Existing Solutions Fall Short</w:t>
      </w:r>
    </w:p>
    <w:p>
      <w:pPr>
        <w:spacing w:after="80" w:before="80"/>
      </w:pPr>
      <w:r>
        <w:rPr>
          <w:rFonts w:ascii="Arial" w:cs="Arial" w:eastAsia="Arial" w:hAnsi="Arial"/>
          <w:sz w:val="22"/>
          <w:szCs w:val="22"/>
        </w:rPr>
        <w:t xml:space="preserve">Traditional healthcare IT vendors have attempted to address provider data quality through directory management software and credentialing platforms. These approaches share a common limitation: they are centralized, proprietary, and siloed. Each payer maintains its own version of truth, each clearinghouse operates independently, and no shared infrastructure exists to synchronize provider data in real time.</w:t>
      </w:r>
    </w:p>
    <w:p>
      <w:pPr>
        <w:spacing w:after="80" w:before="80"/>
      </w:pPr>
      <w:r>
        <w:t xml:space="preserve"/>
      </w:r>
    </w:p>
    <w:p>
      <w:pPr>
        <w:spacing w:after="80" w:before="80"/>
      </w:pPr>
      <w:r>
        <w:rPr>
          <w:rFonts w:ascii="Arial" w:cs="Arial" w:eastAsia="Arial" w:hAnsi="Arial"/>
          <w:sz w:val="22"/>
          <w:szCs w:val="22"/>
        </w:rPr>
        <w:t xml:space="preserve">Blockchain technology — specifically Solana — offers a fundamentally different architecture: immutable, transparent, composable, and accessible to any authorized participant without intermediary infrastructure.</w:t>
      </w:r>
    </w:p>
    <w:p>
      <w:pPr>
        <w:pBdr>
          <w:bottom w:val="single" w:color="1A6B8A" w:sz="4" w:space="1"/>
        </w:pBdr>
        <w:spacing w:after="160" w:before="160"/>
      </w:pPr>
      <w:r>
        <w:t xml:space="preserve"/>
      </w:r>
    </w:p>
    <w:p>
      <w:pPr>
        <w:pStyle w:val="Heading1"/>
        <w:spacing w:after="120" w:before="360"/>
      </w:pPr>
      <w:r>
        <w:rPr>
          <w:rFonts w:ascii="Arial" w:cs="Arial" w:eastAsia="Arial" w:hAnsi="Arial"/>
          <w:b/>
          <w:bCs/>
          <w:color w:val="1A6B8A"/>
          <w:sz w:val="36"/>
          <w:szCs w:val="36"/>
        </w:rPr>
        <w:t xml:space="preserve">3. The Zypher Solution</w:t>
      </w:r>
    </w:p>
    <w:p>
      <w:pPr>
        <w:pStyle w:val="Heading2"/>
        <w:spacing w:after="80" w:before="240"/>
      </w:pPr>
      <w:r>
        <w:rPr>
          <w:rFonts w:ascii="Arial" w:cs="Arial" w:eastAsia="Arial" w:hAnsi="Arial"/>
          <w:b/>
          <w:bCs/>
          <w:color w:val="2E8B57"/>
          <w:sz w:val="28"/>
          <w:szCs w:val="28"/>
        </w:rPr>
        <w:t xml:space="preserve">3.1 On-Chain Provider Data Infrastructure</w:t>
      </w:r>
    </w:p>
    <w:p>
      <w:pPr>
        <w:spacing w:after="80" w:before="80"/>
      </w:pPr>
      <w:r>
        <w:rPr>
          <w:rFonts w:ascii="Arial" w:cs="Arial" w:eastAsia="Arial" w:hAnsi="Arial"/>
          <w:sz w:val="22"/>
          <w:szCs w:val="22"/>
        </w:rPr>
        <w:t xml:space="preserve">Zypher's core innovation is the construction of a verified, on-chain provider registry that ingests and anchors data from federal sources including NPPES, CMS, and HRSA. Provider records — NPI numbers, taxonomy codes, licensure status, credentialing data, and geographic information — are hashed and anchored to the Solana blockchain, creating an immutable audit trail for every data update.</w:t>
      </w:r>
    </w:p>
    <w:p>
      <w:pPr>
        <w:spacing w:after="80" w:before="80"/>
      </w:pPr>
      <w:r>
        <w:t xml:space="preserve"/>
      </w:r>
    </w:p>
    <w:p>
      <w:pPr>
        <w:spacing w:after="80" w:before="80"/>
      </w:pPr>
      <w:r>
        <w:rPr>
          <w:rFonts w:ascii="Arial" w:cs="Arial" w:eastAsia="Arial" w:hAnsi="Arial"/>
          <w:sz w:val="22"/>
          <w:szCs w:val="22"/>
        </w:rPr>
        <w:t xml:space="preserve">This architecture enables:</w:t>
      </w:r>
    </w:p>
    <w:p>
      <w:pPr>
        <w:pStyle w:val="ListParagraph"/>
        <w:numPr>
          <w:ilvl w:val="0"/>
          <w:numId w:val="2"/>
        </w:numPr>
        <w:spacing w:after="40" w:before="40"/>
      </w:pPr>
      <w:r>
        <w:rPr>
          <w:rFonts w:ascii="Arial" w:cs="Arial" w:eastAsia="Arial" w:hAnsi="Arial"/>
          <w:sz w:val="22"/>
          <w:szCs w:val="22"/>
        </w:rPr>
        <w:t xml:space="preserve">Real-time provider verification by any participant — payer, clearinghouse, or patient — without relying on a central authority</w:t>
      </w:r>
    </w:p>
    <w:p>
      <w:pPr>
        <w:pStyle w:val="ListParagraph"/>
        <w:numPr>
          <w:ilvl w:val="0"/>
          <w:numId w:val="2"/>
        </w:numPr>
        <w:spacing w:after="40" w:before="40"/>
      </w:pPr>
      <w:r>
        <w:rPr>
          <w:rFonts w:ascii="Arial" w:cs="Arial" w:eastAsia="Arial" w:hAnsi="Arial"/>
          <w:sz w:val="22"/>
          <w:szCs w:val="22"/>
        </w:rPr>
        <w:t xml:space="preserve">Cryptographic proof of data provenance, linking on-chain records directly to federal source data</w:t>
      </w:r>
    </w:p>
    <w:p>
      <w:pPr>
        <w:pStyle w:val="ListParagraph"/>
        <w:numPr>
          <w:ilvl w:val="0"/>
          <w:numId w:val="2"/>
        </w:numPr>
        <w:spacing w:after="40" w:before="40"/>
      </w:pPr>
      <w:r>
        <w:rPr>
          <w:rFonts w:ascii="Arial" w:cs="Arial" w:eastAsia="Arial" w:hAnsi="Arial"/>
          <w:sz w:val="22"/>
          <w:szCs w:val="22"/>
        </w:rPr>
        <w:t xml:space="preserve">Composable access for downstream payment applications, including the planned zCARE stable payment token</w:t>
      </w:r>
    </w:p>
    <w:p>
      <w:pPr>
        <w:pStyle w:val="ListParagraph"/>
        <w:numPr>
          <w:ilvl w:val="0"/>
          <w:numId w:val="2"/>
        </w:numPr>
        <w:spacing w:after="40" w:before="40"/>
      </w:pPr>
      <w:r>
        <w:rPr>
          <w:rFonts w:ascii="Arial" w:cs="Arial" w:eastAsia="Arial" w:hAnsi="Arial"/>
          <w:sz w:val="22"/>
          <w:szCs w:val="22"/>
        </w:rPr>
        <w:t xml:space="preserve">Elimination of the data lag that drives uncompensated care and claims denials</w:t>
      </w:r>
    </w:p>
    <w:p>
      <w:pPr>
        <w:spacing w:after="80" w:before="80"/>
      </w:pPr>
      <w:r>
        <w:t xml:space="preserve"/>
      </w:r>
    </w:p>
    <w:p>
      <w:pPr>
        <w:pStyle w:val="Heading2"/>
        <w:spacing w:after="80" w:before="240"/>
      </w:pPr>
      <w:r>
        <w:rPr>
          <w:rFonts w:ascii="Arial" w:cs="Arial" w:eastAsia="Arial" w:hAnsi="Arial"/>
          <w:b/>
          <w:bCs/>
          <w:color w:val="2E8B57"/>
          <w:sz w:val="28"/>
          <w:szCs w:val="28"/>
        </w:rPr>
        <w:t xml:space="preserve">3.2 ZPH: The Infrastructure Token</w:t>
      </w:r>
    </w:p>
    <w:p>
      <w:pPr>
        <w:spacing w:after="80" w:before="80"/>
      </w:pPr>
      <w:r>
        <w:rPr>
          <w:rFonts w:ascii="Arial" w:cs="Arial" w:eastAsia="Arial" w:hAnsi="Arial"/>
          <w:sz w:val="22"/>
          <w:szCs w:val="22"/>
        </w:rPr>
        <w:t xml:space="preserve">ZPH is the primary token of the Zypher ecosystem. It serves multiple functions within the network:</w:t>
      </w:r>
    </w:p>
    <w:p>
      <w:pPr>
        <w:pStyle w:val="ListParagraph"/>
        <w:numPr>
          <w:ilvl w:val="0"/>
          <w:numId w:val="2"/>
        </w:numPr>
        <w:spacing w:after="40" w:before="40"/>
      </w:pPr>
      <w:r>
        <w:rPr>
          <w:rFonts w:ascii="Arial" w:cs="Arial" w:eastAsia="Arial" w:hAnsi="Arial"/>
          <w:sz w:val="22"/>
          <w:szCs w:val="22"/>
        </w:rPr>
        <w:t xml:space="preserve">Network access and data query fees: participants querying verified provider records pay fees denominated in ZPH</w:t>
      </w:r>
    </w:p>
    <w:p>
      <w:pPr>
        <w:pStyle w:val="ListParagraph"/>
        <w:numPr>
          <w:ilvl w:val="0"/>
          <w:numId w:val="2"/>
        </w:numPr>
        <w:spacing w:after="40" w:before="40"/>
      </w:pPr>
      <w:r>
        <w:rPr>
          <w:rFonts w:ascii="Arial" w:cs="Arial" w:eastAsia="Arial" w:hAnsi="Arial"/>
          <w:sz w:val="22"/>
          <w:szCs w:val="22"/>
        </w:rPr>
        <w:t xml:space="preserve">Validator incentives: nodes that ingest, verify, and anchor federal data to the chain are compensated in ZPH</w:t>
      </w:r>
    </w:p>
    <w:p>
      <w:pPr>
        <w:pStyle w:val="ListParagraph"/>
        <w:numPr>
          <w:ilvl w:val="0"/>
          <w:numId w:val="2"/>
        </w:numPr>
        <w:spacing w:after="40" w:before="40"/>
      </w:pPr>
      <w:r>
        <w:rPr>
          <w:rFonts w:ascii="Arial" w:cs="Arial" w:eastAsia="Arial" w:hAnsi="Arial"/>
          <w:sz w:val="22"/>
          <w:szCs w:val="22"/>
        </w:rPr>
        <w:t xml:space="preserve">Governance participation: ZPH holders participate in protocol governance decisions, including data source additions and fee parameter updates</w:t>
      </w:r>
    </w:p>
    <w:p>
      <w:pPr>
        <w:pStyle w:val="ListParagraph"/>
        <w:numPr>
          <w:ilvl w:val="0"/>
          <w:numId w:val="2"/>
        </w:numPr>
        <w:spacing w:after="40" w:before="40"/>
      </w:pPr>
      <w:r>
        <w:rPr>
          <w:rFonts w:ascii="Arial" w:cs="Arial" w:eastAsia="Arial" w:hAnsi="Arial"/>
          <w:sz w:val="22"/>
          <w:szCs w:val="22"/>
        </w:rPr>
        <w:t xml:space="preserve">Liquidity and ecosystem growth: ZPH provides the foundational liquidity layer for the zCARE stable payment token introduced in Phase 2</w:t>
      </w:r>
    </w:p>
    <w:p>
      <w:pPr>
        <w:spacing w:after="80" w:before="80"/>
      </w:pPr>
      <w:r>
        <w:t xml:space="preserve"/>
      </w:r>
    </w:p>
    <w:p>
      <w:pPr>
        <w:pStyle w:val="Heading2"/>
        <w:spacing w:after="80" w:before="240"/>
      </w:pPr>
      <w:r>
        <w:rPr>
          <w:rFonts w:ascii="Arial" w:cs="Arial" w:eastAsia="Arial" w:hAnsi="Arial"/>
          <w:b/>
          <w:bCs/>
          <w:color w:val="2E8B57"/>
          <w:sz w:val="28"/>
          <w:szCs w:val="28"/>
        </w:rPr>
        <w:t xml:space="preserve">3.3 zCARE: Phase 2 Payment Token</w:t>
      </w:r>
    </w:p>
    <w:p>
      <w:pPr>
        <w:spacing w:after="80" w:before="80"/>
      </w:pPr>
      <w:r>
        <w:rPr>
          <w:rFonts w:ascii="Arial" w:cs="Arial" w:eastAsia="Arial" w:hAnsi="Arial"/>
          <w:sz w:val="22"/>
          <w:szCs w:val="22"/>
        </w:rPr>
        <w:t xml:space="preserve">The Phase 2 roadmap introduces zCARE, a stable payment token purpose-built for healthcare transactions. Unlike generic stablecoins, zCARE is designed with healthcare-specific compliance considerations, including HIPAA-compatible transaction structures and integration hooks for existing billing clearinghouses.</w:t>
      </w:r>
    </w:p>
    <w:p>
      <w:pPr>
        <w:spacing w:after="80" w:before="80"/>
      </w:pPr>
      <w:r>
        <w:t xml:space="preserve"/>
      </w:r>
    </w:p>
    <w:p>
      <w:pPr>
        <w:spacing w:after="80" w:before="80"/>
      </w:pPr>
      <w:r>
        <w:rPr>
          <w:rFonts w:ascii="Arial" w:cs="Arial" w:eastAsia="Arial" w:hAnsi="Arial"/>
          <w:sz w:val="22"/>
          <w:szCs w:val="22"/>
        </w:rPr>
        <w:t xml:space="preserve">zCARE is collateralized and governed through the ZPH infrastructure layer, creating a direct economic link between the data infrastructure token and the payment execution token. This two-token architecture mirrors successful models in DeFi while adding the regulatory and compliance scaffolding required for healthcare use cases.</w:t>
      </w:r>
    </w:p>
    <w:p>
      <w:pPr>
        <w:pBdr>
          <w:bottom w:val="single" w:color="1A6B8A" w:sz="4" w:space="1"/>
        </w:pBdr>
        <w:spacing w:after="160" w:before="160"/>
      </w:pPr>
      <w:r>
        <w:t xml:space="preserve"/>
      </w:r>
    </w:p>
    <w:p>
      <w:pPr>
        <w:pStyle w:val="Heading1"/>
        <w:spacing w:after="120" w:before="360"/>
      </w:pPr>
      <w:r>
        <w:rPr>
          <w:rFonts w:ascii="Arial" w:cs="Arial" w:eastAsia="Arial" w:hAnsi="Arial"/>
          <w:b/>
          <w:bCs/>
          <w:color w:val="1A6B8A"/>
          <w:sz w:val="36"/>
          <w:szCs w:val="36"/>
        </w:rPr>
        <w:t xml:space="preserve">4. Technical Architecture</w:t>
      </w:r>
    </w:p>
    <w:p>
      <w:pPr>
        <w:pStyle w:val="Heading2"/>
        <w:spacing w:after="80" w:before="240"/>
      </w:pPr>
      <w:r>
        <w:rPr>
          <w:rFonts w:ascii="Arial" w:cs="Arial" w:eastAsia="Arial" w:hAnsi="Arial"/>
          <w:b/>
          <w:bCs/>
          <w:color w:val="2E8B57"/>
          <w:sz w:val="28"/>
          <w:szCs w:val="28"/>
        </w:rPr>
        <w:t xml:space="preserve">4.1 Why Solana</w:t>
      </w:r>
    </w:p>
    <w:p>
      <w:pPr>
        <w:spacing w:after="80" w:before="80"/>
      </w:pPr>
      <w:r>
        <w:rPr>
          <w:rFonts w:ascii="Arial" w:cs="Arial" w:eastAsia="Arial" w:hAnsi="Arial"/>
          <w:sz w:val="22"/>
          <w:szCs w:val="22"/>
        </w:rPr>
        <w:t xml:space="preserve">Zypher is built on Solana for several reasons that align directly with healthcare payment infrastructure requirements:</w:t>
      </w:r>
    </w:p>
    <w:p>
      <w:pPr>
        <w:pStyle w:val="ListParagraph"/>
        <w:numPr>
          <w:ilvl w:val="0"/>
          <w:numId w:val="2"/>
        </w:numPr>
        <w:spacing w:after="40" w:before="40"/>
      </w:pPr>
      <w:r>
        <w:rPr>
          <w:rFonts w:ascii="Arial" w:cs="Arial" w:eastAsia="Arial" w:hAnsi="Arial"/>
          <w:sz w:val="22"/>
          <w:szCs w:val="22"/>
        </w:rPr>
        <w:t xml:space="preserve">Throughput: Solana processes up to 65,000 transactions per second, sufficient for national-scale provider data anchoring and payment processing</w:t>
      </w:r>
    </w:p>
    <w:p>
      <w:pPr>
        <w:pStyle w:val="ListParagraph"/>
        <w:numPr>
          <w:ilvl w:val="0"/>
          <w:numId w:val="2"/>
        </w:numPr>
        <w:spacing w:after="40" w:before="40"/>
      </w:pPr>
      <w:r>
        <w:rPr>
          <w:rFonts w:ascii="Arial" w:cs="Arial" w:eastAsia="Arial" w:hAnsi="Arial"/>
          <w:sz w:val="22"/>
          <w:szCs w:val="22"/>
        </w:rPr>
        <w:t xml:space="preserve">Latency: Sub-second finality enables real-time eligibility verification at point of care</w:t>
      </w:r>
    </w:p>
    <w:p>
      <w:pPr>
        <w:pStyle w:val="ListParagraph"/>
        <w:numPr>
          <w:ilvl w:val="0"/>
          <w:numId w:val="2"/>
        </w:numPr>
        <w:spacing w:after="40" w:before="40"/>
      </w:pPr>
      <w:r>
        <w:rPr>
          <w:rFonts w:ascii="Arial" w:cs="Arial" w:eastAsia="Arial" w:hAnsi="Arial"/>
          <w:sz w:val="22"/>
          <w:szCs w:val="22"/>
        </w:rPr>
        <w:t xml:space="preserve">Cost: Transaction fees averaging less than $0.001 make micro-verification economically viable at scale</w:t>
      </w:r>
    </w:p>
    <w:p>
      <w:pPr>
        <w:pStyle w:val="ListParagraph"/>
        <w:numPr>
          <w:ilvl w:val="0"/>
          <w:numId w:val="2"/>
        </w:numPr>
        <w:spacing w:after="40" w:before="40"/>
      </w:pPr>
      <w:r>
        <w:rPr>
          <w:rFonts w:ascii="Arial" w:cs="Arial" w:eastAsia="Arial" w:hAnsi="Arial"/>
          <w:sz w:val="22"/>
          <w:szCs w:val="22"/>
        </w:rPr>
        <w:t xml:space="preserve">Composability: Solana's program architecture allows Zypher to integrate with existing DeFi liquidity, DEX infrastructure, and cross-chain bridges</w:t>
      </w:r>
    </w:p>
    <w:p>
      <w:pPr>
        <w:spacing w:after="80" w:before="80"/>
      </w:pPr>
      <w:r>
        <w:t xml:space="preserve"/>
      </w:r>
    </w:p>
    <w:p>
      <w:pPr>
        <w:pStyle w:val="Heading2"/>
        <w:spacing w:after="80" w:before="240"/>
      </w:pPr>
      <w:r>
        <w:rPr>
          <w:rFonts w:ascii="Arial" w:cs="Arial" w:eastAsia="Arial" w:hAnsi="Arial"/>
          <w:b/>
          <w:bCs/>
          <w:color w:val="2E8B57"/>
          <w:sz w:val="28"/>
          <w:szCs w:val="28"/>
        </w:rPr>
        <w:t xml:space="preserve">4.2 Token Specifications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Token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Zypher</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Ticker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ZPH</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Blockchain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Solana</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Total Supply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1,000,000,000 ZPH (1 Billion)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Token Standard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 Token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Mint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8sG1MjujqWKNZKkkGQQdekuMTLJvFdP3hoohyEiUr82t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Mint Authority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Revoked (permanent)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Freeze Authority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Revoked (permanent)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Token Generation Event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17, 2026</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DEX Listing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Raydium / Jupiter</w:t>
            </w:r>
          </w:p>
        </w:tc>
      </w:tr>
    </w:tbl>
    <w:p>
      <w:pPr>
        <w:spacing w:after="80" w:before="80"/>
      </w:pPr>
      <w:r>
        <w:t xml:space="preserve"/>
      </w:r>
    </w:p>
    <w:p>
      <w:pPr>
        <w:pStyle w:val="Heading2"/>
        <w:spacing w:after="80" w:before="240"/>
      </w:pPr>
      <w:r>
        <w:rPr>
          <w:rFonts w:ascii="Arial" w:cs="Arial" w:eastAsia="Arial" w:hAnsi="Arial"/>
          <w:b/>
          <w:bCs/>
          <w:color w:val="2E8B57"/>
          <w:sz w:val="28"/>
          <w:szCs w:val="28"/>
        </w:rPr>
        <w:t xml:space="preserve">4.3 Data Pipeline Architecture</w:t>
      </w:r>
    </w:p>
    <w:p>
      <w:pPr>
        <w:spacing w:after="80" w:before="80"/>
      </w:pPr>
      <w:r>
        <w:rPr>
          <w:rFonts w:ascii="Arial" w:cs="Arial" w:eastAsia="Arial" w:hAnsi="Arial"/>
          <w:sz w:val="22"/>
          <w:szCs w:val="22"/>
        </w:rPr>
        <w:t xml:space="preserve">Zypher's data ingestion pipeline operates as follows:</w:t>
      </w:r>
    </w:p>
    <w:p>
      <w:pPr>
        <w:pStyle w:val="ListParagraph"/>
        <w:numPr>
          <w:ilvl w:val="0"/>
          <w:numId w:val="2"/>
        </w:numPr>
        <w:spacing w:after="40" w:before="40"/>
      </w:pPr>
      <w:r>
        <w:rPr>
          <w:rFonts w:ascii="Arial" w:cs="Arial" w:eastAsia="Arial" w:hAnsi="Arial"/>
          <w:sz w:val="22"/>
          <w:szCs w:val="22"/>
        </w:rPr>
        <w:t xml:space="preserve">Federal source data (NPPES NPI Registry, CMS Physician Compare, HRSA data sets) is pulled via authorized API connections and batch file downloads on a scheduled basis</w:t>
      </w:r>
    </w:p>
    <w:p>
      <w:pPr>
        <w:pStyle w:val="ListParagraph"/>
        <w:numPr>
          <w:ilvl w:val="0"/>
          <w:numId w:val="2"/>
        </w:numPr>
        <w:spacing w:after="40" w:before="40"/>
      </w:pPr>
      <w:r>
        <w:rPr>
          <w:rFonts w:ascii="Arial" w:cs="Arial" w:eastAsia="Arial" w:hAnsi="Arial"/>
          <w:sz w:val="22"/>
          <w:szCs w:val="22"/>
        </w:rPr>
        <w:t xml:space="preserve">Ingested records are normalized, deduplicated, and validated against schema standards</w:t>
      </w:r>
    </w:p>
    <w:p>
      <w:pPr>
        <w:pStyle w:val="ListParagraph"/>
        <w:numPr>
          <w:ilvl w:val="0"/>
          <w:numId w:val="2"/>
        </w:numPr>
        <w:spacing w:after="40" w:before="40"/>
      </w:pPr>
      <w:r>
        <w:rPr>
          <w:rFonts w:ascii="Arial" w:cs="Arial" w:eastAsia="Arial" w:hAnsi="Arial"/>
          <w:sz w:val="22"/>
          <w:szCs w:val="22"/>
        </w:rPr>
        <w:t xml:space="preserve">Validated records are hashed using SHA-256 and the resulting hashes are anchored to the Solana blockchain via Zypher's on-chain program</w:t>
      </w:r>
    </w:p>
    <w:p>
      <w:pPr>
        <w:pStyle w:val="ListParagraph"/>
        <w:numPr>
          <w:ilvl w:val="0"/>
          <w:numId w:val="2"/>
        </w:numPr>
        <w:spacing w:after="40" w:before="40"/>
      </w:pPr>
      <w:r>
        <w:rPr>
          <w:rFonts w:ascii="Arial" w:cs="Arial" w:eastAsia="Arial" w:hAnsi="Arial"/>
          <w:sz w:val="22"/>
          <w:szCs w:val="22"/>
        </w:rPr>
        <w:t xml:space="preserve">The on-chain registry maps each provider NPI to its most recent verified hash, enabling any participant to verify a provider record's authenticity and recency</w:t>
      </w:r>
    </w:p>
    <w:p>
      <w:pPr>
        <w:pStyle w:val="ListParagraph"/>
        <w:numPr>
          <w:ilvl w:val="0"/>
          <w:numId w:val="2"/>
        </w:numPr>
        <w:spacing w:after="40" w:before="40"/>
      </w:pPr>
      <w:r>
        <w:rPr>
          <w:rFonts w:ascii="Arial" w:cs="Arial" w:eastAsia="Arial" w:hAnsi="Arial"/>
          <w:sz w:val="22"/>
          <w:szCs w:val="22"/>
        </w:rPr>
        <w:t xml:space="preserve">Updates to provider records trigger new hash anchoring events, creating an immutable change history for every provider in the system</w:t>
      </w:r>
    </w:p>
    <w:p>
      <w:pPr>
        <w:pBdr>
          <w:bottom w:val="single" w:color="1A6B8A" w:sz="4" w:space="1"/>
        </w:pBdr>
        <w:spacing w:after="160" w:before="160"/>
      </w:pPr>
      <w:r>
        <w:t xml:space="preserve"/>
      </w:r>
    </w:p>
    <w:p>
      <w:pPr>
        <w:pStyle w:val="Heading1"/>
        <w:spacing w:after="120" w:before="360"/>
      </w:pPr>
      <w:r>
        <w:rPr>
          <w:rFonts w:ascii="Arial" w:cs="Arial" w:eastAsia="Arial" w:hAnsi="Arial"/>
          <w:b/>
          <w:bCs/>
          <w:color w:val="1A6B8A"/>
          <w:sz w:val="36"/>
          <w:szCs w:val="36"/>
        </w:rPr>
        <w:t xml:space="preserve">5. Market Opportunity</w:t>
      </w:r>
    </w:p>
    <w:p>
      <w:pPr>
        <w:pStyle w:val="Heading2"/>
        <w:spacing w:after="80" w:before="240"/>
      </w:pPr>
      <w:r>
        <w:rPr>
          <w:rFonts w:ascii="Arial" w:cs="Arial" w:eastAsia="Arial" w:hAnsi="Arial"/>
          <w:b/>
          <w:bCs/>
          <w:color w:val="2E8B57"/>
          <w:sz w:val="28"/>
          <w:szCs w:val="28"/>
        </w:rPr>
        <w:t xml:space="preserve">5.1 Total Addressable Market</w:t>
      </w:r>
    </w:p>
    <w:p>
      <w:pPr>
        <w:spacing w:after="80" w:before="80"/>
      </w:pPr>
      <w:r>
        <w:rPr>
          <w:rFonts w:ascii="Arial" w:cs="Arial" w:eastAsia="Arial" w:hAnsi="Arial"/>
          <w:sz w:val="22"/>
          <w:szCs w:val="22"/>
        </w:rPr>
        <w:t xml:space="preserve">The U.S. healthcare payment processing market exceeds $2 trillion annually. Within this, the specific segments addressable by Zypher's infrastructure include:</w:t>
      </w:r>
    </w:p>
    <w:p>
      <w:pPr>
        <w:pStyle w:val="ListParagraph"/>
        <w:numPr>
          <w:ilvl w:val="0"/>
          <w:numId w:val="2"/>
        </w:numPr>
        <w:spacing w:after="40" w:before="40"/>
      </w:pPr>
      <w:r>
        <w:rPr>
          <w:rFonts w:ascii="Arial" w:cs="Arial" w:eastAsia="Arial" w:hAnsi="Arial"/>
          <w:sz w:val="22"/>
          <w:szCs w:val="22"/>
        </w:rPr>
        <w:t xml:space="preserve">Provider data management and directory services: estimated $4B+ annual spend by payers and health systems</w:t>
      </w:r>
    </w:p>
    <w:p>
      <w:pPr>
        <w:pStyle w:val="ListParagraph"/>
        <w:numPr>
          <w:ilvl w:val="0"/>
          <w:numId w:val="2"/>
        </w:numPr>
        <w:spacing w:after="40" w:before="40"/>
      </w:pPr>
      <w:r>
        <w:rPr>
          <w:rFonts w:ascii="Arial" w:cs="Arial" w:eastAsia="Arial" w:hAnsi="Arial"/>
          <w:sz w:val="22"/>
          <w:szCs w:val="22"/>
        </w:rPr>
        <w:t xml:space="preserve">Medical billing and claims processing: $16B+ market, with significant inefficiency driven by data quality failures</w:t>
      </w:r>
    </w:p>
    <w:p>
      <w:pPr>
        <w:pStyle w:val="ListParagraph"/>
        <w:numPr>
          <w:ilvl w:val="0"/>
          <w:numId w:val="2"/>
        </w:numPr>
        <w:spacing w:after="40" w:before="40"/>
      </w:pPr>
      <w:r>
        <w:rPr>
          <w:rFonts w:ascii="Arial" w:cs="Arial" w:eastAsia="Arial" w:hAnsi="Arial"/>
          <w:sz w:val="22"/>
          <w:szCs w:val="22"/>
        </w:rPr>
        <w:t xml:space="preserve">Healthcare payment infrastructure: growing segment as payers and providers seek interoperable, cost-efficient alternatives to legacy EDI systems</w:t>
      </w:r>
    </w:p>
    <w:p>
      <w:pPr>
        <w:spacing w:after="80" w:before="80"/>
      </w:pPr>
      <w:r>
        <w:t xml:space="preserve"/>
      </w:r>
    </w:p>
    <w:p>
      <w:pPr>
        <w:pStyle w:val="Heading2"/>
        <w:spacing w:after="80" w:before="240"/>
      </w:pPr>
      <w:r>
        <w:rPr>
          <w:rFonts w:ascii="Arial" w:cs="Arial" w:eastAsia="Arial" w:hAnsi="Arial"/>
          <w:b/>
          <w:bCs/>
          <w:color w:val="2E8B57"/>
          <w:sz w:val="28"/>
          <w:szCs w:val="28"/>
        </w:rPr>
        <w:t xml:space="preserve">5.2 Competitive Positioning</w:t>
      </w:r>
    </w:p>
    <w:p>
      <w:pPr>
        <w:spacing w:after="80" w:before="80"/>
      </w:pPr>
      <w:r>
        <w:rPr>
          <w:rFonts w:ascii="Arial" w:cs="Arial" w:eastAsia="Arial" w:hAnsi="Arial"/>
          <w:sz w:val="22"/>
          <w:szCs w:val="22"/>
        </w:rPr>
        <w:t xml:space="preserve">No existing blockchain project has successfully anchored U.S. federal healthcare provider data on-chain at scale. Zypher occupies a unique position at the intersection of:</w:t>
      </w:r>
    </w:p>
    <w:p>
      <w:pPr>
        <w:pStyle w:val="ListParagraph"/>
        <w:numPr>
          <w:ilvl w:val="0"/>
          <w:numId w:val="2"/>
        </w:numPr>
        <w:spacing w:after="40" w:before="40"/>
      </w:pPr>
      <w:r>
        <w:rPr>
          <w:rFonts w:ascii="Arial" w:cs="Arial" w:eastAsia="Arial" w:hAnsi="Arial"/>
          <w:sz w:val="22"/>
          <w:szCs w:val="22"/>
        </w:rPr>
        <w:t xml:space="preserve">Federal data infrastructure (NPPES, CMS, HRSA integration)</w:t>
      </w:r>
    </w:p>
    <w:p>
      <w:pPr>
        <w:pStyle w:val="ListParagraph"/>
        <w:numPr>
          <w:ilvl w:val="0"/>
          <w:numId w:val="2"/>
        </w:numPr>
        <w:spacing w:after="40" w:before="40"/>
      </w:pPr>
      <w:r>
        <w:rPr>
          <w:rFonts w:ascii="Arial" w:cs="Arial" w:eastAsia="Arial" w:hAnsi="Arial"/>
          <w:sz w:val="22"/>
          <w:szCs w:val="22"/>
        </w:rPr>
        <w:t xml:space="preserve">Solana's high-performance blockchain</w:t>
      </w:r>
    </w:p>
    <w:p>
      <w:pPr>
        <w:pStyle w:val="ListParagraph"/>
        <w:numPr>
          <w:ilvl w:val="0"/>
          <w:numId w:val="2"/>
        </w:numPr>
        <w:spacing w:after="40" w:before="40"/>
      </w:pPr>
      <w:r>
        <w:rPr>
          <w:rFonts w:ascii="Arial" w:cs="Arial" w:eastAsia="Arial" w:hAnsi="Arial"/>
          <w:sz w:val="22"/>
          <w:szCs w:val="22"/>
        </w:rPr>
        <w:t xml:space="preserve">Healthcare-specific payment compliance requirements</w:t>
      </w:r>
    </w:p>
    <w:p>
      <w:pPr>
        <w:pStyle w:val="ListParagraph"/>
        <w:numPr>
          <w:ilvl w:val="0"/>
          <w:numId w:val="2"/>
        </w:numPr>
        <w:spacing w:after="40" w:before="40"/>
      </w:pPr>
      <w:r>
        <w:rPr>
          <w:rFonts w:ascii="Arial" w:cs="Arial" w:eastAsia="Arial" w:hAnsi="Arial"/>
          <w:sz w:val="22"/>
          <w:szCs w:val="22"/>
        </w:rPr>
        <w:t xml:space="preserve">DeFi composability and liquidity primitives</w:t>
      </w:r>
    </w:p>
    <w:p>
      <w:pPr>
        <w:spacing w:after="80" w:before="80"/>
      </w:pPr>
      <w:r>
        <w:t xml:space="preserve"/>
      </w:r>
    </w:p>
    <w:p>
      <w:pPr>
        <w:spacing w:after="80" w:before="80"/>
      </w:pPr>
      <w:r>
        <w:rPr>
          <w:rFonts w:ascii="Arial" w:cs="Arial" w:eastAsia="Arial" w:hAnsi="Arial"/>
          <w:sz w:val="22"/>
          <w:szCs w:val="22"/>
        </w:rPr>
        <w:t xml:space="preserve">Traditional healthcare IT competitors (Availity, Verity, CAQH) operate closed, centralized systems. Zypher's open, permissionless architecture creates a structural competitive moat.</w:t>
      </w:r>
    </w:p>
    <w:p>
      <w:pPr>
        <w:pBdr>
          <w:bottom w:val="single" w:color="1A6B8A" w:sz="4" w:space="1"/>
        </w:pBdr>
        <w:spacing w:after="160" w:before="160"/>
      </w:pPr>
      <w:r>
        <w:t xml:space="preserve"/>
      </w:r>
    </w:p>
    <w:p>
      <w:pPr>
        <w:pStyle w:val="Heading1"/>
        <w:spacing w:after="120" w:before="360"/>
      </w:pPr>
      <w:r>
        <w:rPr>
          <w:rFonts w:ascii="Arial" w:cs="Arial" w:eastAsia="Arial" w:hAnsi="Arial"/>
          <w:b/>
          <w:bCs/>
          <w:color w:val="1A6B8A"/>
          <w:sz w:val="36"/>
          <w:szCs w:val="36"/>
        </w:rPr>
        <w:t xml:space="preserve">6. Tokenomics</w:t>
      </w:r>
    </w:p>
    <w:p>
      <w:pPr>
        <w:pStyle w:val="Heading2"/>
        <w:spacing w:after="80" w:before="240"/>
      </w:pPr>
      <w:r>
        <w:rPr>
          <w:rFonts w:ascii="Arial" w:cs="Arial" w:eastAsia="Arial" w:hAnsi="Arial"/>
          <w:b/>
          <w:bCs/>
          <w:color w:val="2E8B57"/>
          <w:sz w:val="28"/>
          <w:szCs w:val="28"/>
        </w:rPr>
        <w:t xml:space="preserve">6.1 Supply and Distribution</w:t>
      </w:r>
    </w:p>
    <w:p>
      <w:pPr>
        <w:spacing w:after="80" w:before="80"/>
      </w:pPr>
      <w:r>
        <w:rPr>
          <w:rFonts w:ascii="Arial" w:cs="Arial" w:eastAsia="Arial" w:hAnsi="Arial"/>
          <w:sz w:val="22"/>
          <w:szCs w:val="22"/>
        </w:rPr>
        <w:t xml:space="preserve">Zypher has a fixed total supply of 1,000,000,000 ZPH with no inflationary minting mechanism. Both Mint Authority and Freeze Authority have been permanently revoked, ensuring the supply cap is cryptographically enforced and immutable.</w:t>
      </w:r>
    </w:p>
    <w:p>
      <w:pPr>
        <w:spacing w:after="80" w:before="80"/>
      </w:pPr>
      <w:r>
        <w:t xml:space="preserve"/>
      </w:r>
    </w:p>
    <w:p>
      <w:pPr>
        <w:spacing w:after="80" w:before="80"/>
      </w:pPr>
      <w:r>
        <w:rPr>
          <w:rFonts w:ascii="Arial" w:cs="Arial" w:eastAsia="Arial" w:hAnsi="Arial"/>
          <w:sz w:val="22"/>
          <w:szCs w:val="22"/>
        </w:rPr>
        <w:t xml:space="preserve">Token distribution is designed to align long-term incentives between the development team, ecosystem contributors, and the broader community. Detailed allocation schedules will be published as the project progresses through its roadmap milestones.</w:t>
      </w:r>
    </w:p>
    <w:p>
      <w:pPr>
        <w:spacing w:after="80" w:before="80"/>
      </w:pPr>
      <w:r>
        <w:t xml:space="preserve"/>
      </w:r>
    </w:p>
    <w:p>
      <w:pPr>
        <w:pStyle w:val="Heading2"/>
        <w:spacing w:after="80" w:before="240"/>
      </w:pPr>
      <w:r>
        <w:rPr>
          <w:rFonts w:ascii="Arial" w:cs="Arial" w:eastAsia="Arial" w:hAnsi="Arial"/>
          <w:b/>
          <w:bCs/>
          <w:color w:val="2E8B57"/>
          <w:sz w:val="28"/>
          <w:szCs w:val="28"/>
        </w:rPr>
        <w:t xml:space="preserve">6.2 Utility and Value Accrual</w:t>
      </w:r>
    </w:p>
    <w:p>
      <w:pPr>
        <w:spacing w:after="80" w:before="80"/>
      </w:pPr>
      <w:r>
        <w:rPr>
          <w:rFonts w:ascii="Arial" w:cs="Arial" w:eastAsia="Arial" w:hAnsi="Arial"/>
          <w:sz w:val="22"/>
          <w:szCs w:val="22"/>
        </w:rPr>
        <w:t xml:space="preserve">ZPH accrues value through multiple mechanisms:</w:t>
      </w:r>
    </w:p>
    <w:p>
      <w:pPr>
        <w:pStyle w:val="ListParagraph"/>
        <w:numPr>
          <w:ilvl w:val="0"/>
          <w:numId w:val="2"/>
        </w:numPr>
        <w:spacing w:after="40" w:before="40"/>
      </w:pPr>
      <w:r>
        <w:rPr>
          <w:rFonts w:ascii="Arial" w:cs="Arial" w:eastAsia="Arial" w:hAnsi="Arial"/>
          <w:sz w:val="22"/>
          <w:szCs w:val="22"/>
        </w:rPr>
        <w:t xml:space="preserve">Fee capture: network query fees denominated in ZPH create continuous buy pressure as utilization scales</w:t>
      </w:r>
    </w:p>
    <w:p>
      <w:pPr>
        <w:pStyle w:val="ListParagraph"/>
        <w:numPr>
          <w:ilvl w:val="0"/>
          <w:numId w:val="2"/>
        </w:numPr>
        <w:spacing w:after="40" w:before="40"/>
      </w:pPr>
      <w:r>
        <w:rPr>
          <w:rFonts w:ascii="Arial" w:cs="Arial" w:eastAsia="Arial" w:hAnsi="Arial"/>
          <w:sz w:val="22"/>
          <w:szCs w:val="22"/>
        </w:rPr>
        <w:t xml:space="preserve">Governance premium: ZPH holders who participate in governance may earn protocol revenue distributions</w:t>
      </w:r>
    </w:p>
    <w:p>
      <w:pPr>
        <w:pStyle w:val="ListParagraph"/>
        <w:numPr>
          <w:ilvl w:val="0"/>
          <w:numId w:val="2"/>
        </w:numPr>
        <w:spacing w:after="40" w:before="40"/>
      </w:pPr>
      <w:r>
        <w:rPr>
          <w:rFonts w:ascii="Arial" w:cs="Arial" w:eastAsia="Arial" w:hAnsi="Arial"/>
          <w:sz w:val="22"/>
          <w:szCs w:val="22"/>
        </w:rPr>
        <w:t xml:space="preserve">zCARE collateral: Phase 2 introduces ZPH as collateral backing for the zCARE stable payment token, creating a direct demand sink</w:t>
      </w:r>
    </w:p>
    <w:p>
      <w:pPr>
        <w:pStyle w:val="ListParagraph"/>
        <w:numPr>
          <w:ilvl w:val="0"/>
          <w:numId w:val="2"/>
        </w:numPr>
        <w:spacing w:after="40" w:before="40"/>
      </w:pPr>
      <w:r>
        <w:rPr>
          <w:rFonts w:ascii="Arial" w:cs="Arial" w:eastAsia="Arial" w:hAnsi="Arial"/>
          <w:sz w:val="22"/>
          <w:szCs w:val="22"/>
        </w:rPr>
        <w:t xml:space="preserve">Ecosystem grants: protocol-owned liquidity and grant programs denominated in ZPH incentivize developer and integration activity</w:t>
      </w:r>
    </w:p>
    <w:p>
      <w:pPr>
        <w:pBdr>
          <w:bottom w:val="single" w:color="1A6B8A" w:sz="4" w:space="1"/>
        </w:pBdr>
        <w:spacing w:after="160" w:before="160"/>
      </w:pPr>
      <w:r>
        <w:t xml:space="preserve"/>
      </w:r>
    </w:p>
    <w:p>
      <w:pPr>
        <w:pStyle w:val="Heading1"/>
        <w:spacing w:after="120" w:before="360"/>
      </w:pPr>
      <w:r>
        <w:rPr>
          <w:rFonts w:ascii="Arial" w:cs="Arial" w:eastAsia="Arial" w:hAnsi="Arial"/>
          <w:b/>
          <w:bCs/>
          <w:color w:val="1A6B8A"/>
          <w:sz w:val="36"/>
          <w:szCs w:val="36"/>
        </w:rPr>
        <w:t xml:space="preserve">7. Roadmap</w:t>
      </w:r>
    </w:p>
    <w:p>
      <w:pPr>
        <w:pStyle w:val="Heading2"/>
        <w:spacing w:after="80" w:before="240"/>
      </w:pPr>
      <w:r>
        <w:rPr>
          <w:rFonts w:ascii="Arial" w:cs="Arial" w:eastAsia="Arial" w:hAnsi="Arial"/>
          <w:b/>
          <w:bCs/>
          <w:color w:val="2E8B57"/>
          <w:sz w:val="28"/>
          <w:szCs w:val="28"/>
        </w:rPr>
        <w:t xml:space="preserve">Phase 1: Infrastructure Foundation (2026)</w:t>
      </w:r>
    </w:p>
    <w:p>
      <w:pPr>
        <w:pStyle w:val="ListParagraph"/>
        <w:numPr>
          <w:ilvl w:val="0"/>
          <w:numId w:val="2"/>
        </w:numPr>
        <w:spacing w:after="40" w:before="40"/>
      </w:pPr>
      <w:r>
        <w:rPr>
          <w:rFonts w:ascii="Arial" w:cs="Arial" w:eastAsia="Arial" w:hAnsi="Arial"/>
          <w:sz w:val="22"/>
          <w:szCs w:val="22"/>
        </w:rPr>
        <w:t xml:space="preserve">Token Generation Event — Completed (March 17, 2026)</w:t>
      </w:r>
    </w:p>
    <w:p>
      <w:pPr>
        <w:pStyle w:val="ListParagraph"/>
        <w:numPr>
          <w:ilvl w:val="0"/>
          <w:numId w:val="2"/>
        </w:numPr>
        <w:spacing w:after="40" w:before="40"/>
      </w:pPr>
      <w:r>
        <w:rPr>
          <w:rFonts w:ascii="Arial" w:cs="Arial" w:eastAsia="Arial" w:hAnsi="Arial"/>
          <w:sz w:val="22"/>
          <w:szCs w:val="22"/>
        </w:rPr>
        <w:t xml:space="preserve">Raydium liquidity pool deployment — Completed</w:t>
      </w:r>
    </w:p>
    <w:p>
      <w:pPr>
        <w:pStyle w:val="ListParagraph"/>
        <w:numPr>
          <w:ilvl w:val="0"/>
          <w:numId w:val="2"/>
        </w:numPr>
        <w:spacing w:after="40" w:before="40"/>
      </w:pPr>
      <w:r>
        <w:rPr>
          <w:rFonts w:ascii="Arial" w:cs="Arial" w:eastAsia="Arial" w:hAnsi="Arial"/>
          <w:sz w:val="22"/>
          <w:szCs w:val="22"/>
        </w:rPr>
        <w:t xml:space="preserve">Jupiter DEX listing — Completed</w:t>
      </w:r>
    </w:p>
    <w:p>
      <w:pPr>
        <w:pStyle w:val="ListParagraph"/>
        <w:numPr>
          <w:ilvl w:val="0"/>
          <w:numId w:val="2"/>
        </w:numPr>
        <w:spacing w:after="40" w:before="40"/>
      </w:pPr>
      <w:r>
        <w:rPr>
          <w:rFonts w:ascii="Arial" w:cs="Arial" w:eastAsia="Arial" w:hAnsi="Arial"/>
          <w:sz w:val="22"/>
          <w:szCs w:val="22"/>
        </w:rPr>
        <w:t xml:space="preserve">Website and whitepaper publication — Completed</w:t>
      </w:r>
    </w:p>
    <w:p>
      <w:pPr>
        <w:pStyle w:val="ListParagraph"/>
        <w:numPr>
          <w:ilvl w:val="0"/>
          <w:numId w:val="2"/>
        </w:numPr>
        <w:spacing w:after="40" w:before="40"/>
      </w:pPr>
      <w:r>
        <w:rPr>
          <w:rFonts w:ascii="Arial" w:cs="Arial" w:eastAsia="Arial" w:hAnsi="Arial"/>
          <w:sz w:val="22"/>
          <w:szCs w:val="22"/>
        </w:rPr>
        <w:t xml:space="preserve">CoinGecko listing — In progress</w:t>
      </w:r>
    </w:p>
    <w:p>
      <w:pPr>
        <w:pStyle w:val="ListParagraph"/>
        <w:numPr>
          <w:ilvl w:val="0"/>
          <w:numId w:val="2"/>
        </w:numPr>
        <w:spacing w:after="40" w:before="40"/>
      </w:pPr>
      <w:r>
        <w:rPr>
          <w:rFonts w:ascii="Arial" w:cs="Arial" w:eastAsia="Arial" w:hAnsi="Arial"/>
          <w:sz w:val="22"/>
          <w:szCs w:val="22"/>
        </w:rPr>
        <w:t xml:space="preserve">Community growth and Twitter presence — In progress</w:t>
      </w:r>
    </w:p>
    <w:p>
      <w:pPr>
        <w:pStyle w:val="ListParagraph"/>
        <w:numPr>
          <w:ilvl w:val="0"/>
          <w:numId w:val="2"/>
        </w:numPr>
        <w:spacing w:after="40" w:before="40"/>
      </w:pPr>
      <w:r>
        <w:rPr>
          <w:rFonts w:ascii="Arial" w:cs="Arial" w:eastAsia="Arial" w:hAnsi="Arial"/>
          <w:sz w:val="22"/>
          <w:szCs w:val="22"/>
        </w:rPr>
        <w:t xml:space="preserve">Federal data pipeline proof-of-concept (NPPES integration) — Q3 2026</w:t>
      </w:r>
    </w:p>
    <w:p>
      <w:pPr>
        <w:spacing w:after="80" w:before="80"/>
      </w:pPr>
      <w:r>
        <w:t xml:space="preserve"/>
      </w:r>
    </w:p>
    <w:p>
      <w:pPr>
        <w:pStyle w:val="Heading2"/>
        <w:spacing w:after="80" w:before="240"/>
      </w:pPr>
      <w:r>
        <w:rPr>
          <w:rFonts w:ascii="Arial" w:cs="Arial" w:eastAsia="Arial" w:hAnsi="Arial"/>
          <w:b/>
          <w:bCs/>
          <w:color w:val="2E8B57"/>
          <w:sz w:val="28"/>
          <w:szCs w:val="28"/>
        </w:rPr>
        <w:t xml:space="preserve">Phase 2: Payment Layer (2026-2027)</w:t>
      </w:r>
    </w:p>
    <w:p>
      <w:pPr>
        <w:pStyle w:val="ListParagraph"/>
        <w:numPr>
          <w:ilvl w:val="0"/>
          <w:numId w:val="2"/>
        </w:numPr>
        <w:spacing w:after="40" w:before="40"/>
      </w:pPr>
      <w:r>
        <w:rPr>
          <w:rFonts w:ascii="Arial" w:cs="Arial" w:eastAsia="Arial" w:hAnsi="Arial"/>
          <w:sz w:val="22"/>
          <w:szCs w:val="22"/>
        </w:rPr>
        <w:t xml:space="preserve">zCARE stable payment token design and architecture</w:t>
      </w:r>
    </w:p>
    <w:p>
      <w:pPr>
        <w:pStyle w:val="ListParagraph"/>
        <w:numPr>
          <w:ilvl w:val="0"/>
          <w:numId w:val="2"/>
        </w:numPr>
        <w:spacing w:after="40" w:before="40"/>
      </w:pPr>
      <w:r>
        <w:rPr>
          <w:rFonts w:ascii="Arial" w:cs="Arial" w:eastAsia="Arial" w:hAnsi="Arial"/>
          <w:sz w:val="22"/>
          <w:szCs w:val="22"/>
        </w:rPr>
        <w:t xml:space="preserve">Regulatory framework analysis and compliance scaffolding</w:t>
      </w:r>
    </w:p>
    <w:p>
      <w:pPr>
        <w:pStyle w:val="ListParagraph"/>
        <w:numPr>
          <w:ilvl w:val="0"/>
          <w:numId w:val="2"/>
        </w:numPr>
        <w:spacing w:after="40" w:before="40"/>
      </w:pPr>
      <w:r>
        <w:rPr>
          <w:rFonts w:ascii="Arial" w:cs="Arial" w:eastAsia="Arial" w:hAnsi="Arial"/>
          <w:sz w:val="22"/>
          <w:szCs w:val="22"/>
        </w:rPr>
        <w:t xml:space="preserve">Pilot partnerships with healthcare billing clearinghouses</w:t>
      </w:r>
    </w:p>
    <w:p>
      <w:pPr>
        <w:pStyle w:val="ListParagraph"/>
        <w:numPr>
          <w:ilvl w:val="0"/>
          <w:numId w:val="2"/>
        </w:numPr>
        <w:spacing w:after="40" w:before="40"/>
      </w:pPr>
      <w:r>
        <w:rPr>
          <w:rFonts w:ascii="Arial" w:cs="Arial" w:eastAsia="Arial" w:hAnsi="Arial"/>
          <w:sz w:val="22"/>
          <w:szCs w:val="22"/>
        </w:rPr>
        <w:t xml:space="preserve">zCARE token generation and liquidity initialization</w:t>
      </w:r>
    </w:p>
    <w:p>
      <w:pPr>
        <w:pStyle w:val="ListParagraph"/>
        <w:numPr>
          <w:ilvl w:val="0"/>
          <w:numId w:val="2"/>
        </w:numPr>
        <w:spacing w:after="40" w:before="40"/>
      </w:pPr>
      <w:r>
        <w:rPr>
          <w:rFonts w:ascii="Arial" w:cs="Arial" w:eastAsia="Arial" w:hAnsi="Arial"/>
          <w:sz w:val="22"/>
          <w:szCs w:val="22"/>
        </w:rPr>
        <w:t xml:space="preserve">Cross-chain bridge exploration for broader DeFi composability</w:t>
      </w:r>
    </w:p>
    <w:p>
      <w:pPr>
        <w:spacing w:after="80" w:before="80"/>
      </w:pPr>
      <w:r>
        <w:t xml:space="preserve"/>
      </w:r>
    </w:p>
    <w:p>
      <w:pPr>
        <w:pStyle w:val="Heading2"/>
        <w:spacing w:after="80" w:before="240"/>
      </w:pPr>
      <w:r>
        <w:rPr>
          <w:rFonts w:ascii="Arial" w:cs="Arial" w:eastAsia="Arial" w:hAnsi="Arial"/>
          <w:b/>
          <w:bCs/>
          <w:color w:val="2E8B57"/>
          <w:sz w:val="28"/>
          <w:szCs w:val="28"/>
        </w:rPr>
        <w:t xml:space="preserve">Phase 3: Scale and Adoption (2027+)</w:t>
      </w:r>
    </w:p>
    <w:p>
      <w:pPr>
        <w:pStyle w:val="ListParagraph"/>
        <w:numPr>
          <w:ilvl w:val="0"/>
          <w:numId w:val="2"/>
        </w:numPr>
        <w:spacing w:after="40" w:before="40"/>
      </w:pPr>
      <w:r>
        <w:rPr>
          <w:rFonts w:ascii="Arial" w:cs="Arial" w:eastAsia="Arial" w:hAnsi="Arial"/>
          <w:sz w:val="22"/>
          <w:szCs w:val="22"/>
        </w:rPr>
        <w:t xml:space="preserve">National-scale NPPES/CMS data anchoring infrastructure</w:t>
      </w:r>
    </w:p>
    <w:p>
      <w:pPr>
        <w:pStyle w:val="ListParagraph"/>
        <w:numPr>
          <w:ilvl w:val="0"/>
          <w:numId w:val="2"/>
        </w:numPr>
        <w:spacing w:after="40" w:before="40"/>
      </w:pPr>
      <w:r>
        <w:rPr>
          <w:rFonts w:ascii="Arial" w:cs="Arial" w:eastAsia="Arial" w:hAnsi="Arial"/>
          <w:sz w:val="22"/>
          <w:szCs w:val="22"/>
        </w:rPr>
        <w:t xml:space="preserve">Payer and health system integration partnerships</w:t>
      </w:r>
    </w:p>
    <w:p>
      <w:pPr>
        <w:pStyle w:val="ListParagraph"/>
        <w:numPr>
          <w:ilvl w:val="0"/>
          <w:numId w:val="2"/>
        </w:numPr>
        <w:spacing w:after="40" w:before="40"/>
      </w:pPr>
      <w:r>
        <w:rPr>
          <w:rFonts w:ascii="Arial" w:cs="Arial" w:eastAsia="Arial" w:hAnsi="Arial"/>
          <w:sz w:val="22"/>
          <w:szCs w:val="22"/>
        </w:rPr>
        <w:t xml:space="preserve">Expansion to additional federal health data sources</w:t>
      </w:r>
    </w:p>
    <w:p>
      <w:pPr>
        <w:pStyle w:val="ListParagraph"/>
        <w:numPr>
          <w:ilvl w:val="0"/>
          <w:numId w:val="2"/>
        </w:numPr>
        <w:spacing w:after="40" w:before="40"/>
      </w:pPr>
      <w:r>
        <w:rPr>
          <w:rFonts w:ascii="Arial" w:cs="Arial" w:eastAsia="Arial" w:hAnsi="Arial"/>
          <w:sz w:val="22"/>
          <w:szCs w:val="22"/>
        </w:rPr>
        <w:t xml:space="preserve">Governance decentralization and DAO transition</w:t>
      </w:r>
    </w:p>
    <w:p>
      <w:pPr>
        <w:pBdr>
          <w:bottom w:val="single" w:color="1A6B8A" w:sz="4" w:space="1"/>
        </w:pBdr>
        <w:spacing w:after="160" w:before="160"/>
      </w:pPr>
      <w:r>
        <w:t xml:space="preserve"/>
      </w:r>
    </w:p>
    <w:p>
      <w:pPr>
        <w:pStyle w:val="Heading1"/>
        <w:spacing w:after="120" w:before="360"/>
      </w:pPr>
      <w:r>
        <w:rPr>
          <w:rFonts w:ascii="Arial" w:cs="Arial" w:eastAsia="Arial" w:hAnsi="Arial"/>
          <w:b/>
          <w:bCs/>
          <w:color w:val="1A6B8A"/>
          <w:sz w:val="36"/>
          <w:szCs w:val="36"/>
        </w:rPr>
        <w:t xml:space="preserve">8. Risk Factors</w:t>
      </w:r>
    </w:p>
    <w:p>
      <w:pPr>
        <w:spacing w:after="80" w:before="80"/>
      </w:pPr>
      <w:r>
        <w:rPr>
          <w:rFonts w:ascii="Arial" w:cs="Arial" w:eastAsia="Arial" w:hAnsi="Arial"/>
          <w:sz w:val="22"/>
          <w:szCs w:val="22"/>
        </w:rPr>
        <w:t xml:space="preserve">Investing in or using ZPH involves substantial risk. Prospective participants should carefully consider the following:</w:t>
      </w:r>
    </w:p>
    <w:p>
      <w:pPr>
        <w:pStyle w:val="ListParagraph"/>
        <w:numPr>
          <w:ilvl w:val="0"/>
          <w:numId w:val="2"/>
        </w:numPr>
        <w:spacing w:after="40" w:before="40"/>
      </w:pPr>
      <w:r>
        <w:rPr>
          <w:rFonts w:ascii="Arial" w:cs="Arial" w:eastAsia="Arial" w:hAnsi="Arial"/>
          <w:sz w:val="22"/>
          <w:szCs w:val="22"/>
        </w:rPr>
        <w:t xml:space="preserve">Regulatory risk: Healthcare data and payments are heavily regulated. Changes to federal law or regulatory interpretation could impact Zypher's operations.</w:t>
      </w:r>
    </w:p>
    <w:p>
      <w:pPr>
        <w:pStyle w:val="ListParagraph"/>
        <w:numPr>
          <w:ilvl w:val="0"/>
          <w:numId w:val="2"/>
        </w:numPr>
        <w:spacing w:after="40" w:before="40"/>
      </w:pPr>
      <w:r>
        <w:rPr>
          <w:rFonts w:ascii="Arial" w:cs="Arial" w:eastAsia="Arial" w:hAnsi="Arial"/>
          <w:sz w:val="22"/>
          <w:szCs w:val="22"/>
        </w:rPr>
        <w:t xml:space="preserve">Adoption risk: Zypher's utility depends on adoption by healthcare payers, providers, and clearinghouses. Adoption timelines are uncertain.</w:t>
      </w:r>
    </w:p>
    <w:p>
      <w:pPr>
        <w:pStyle w:val="ListParagraph"/>
        <w:numPr>
          <w:ilvl w:val="0"/>
          <w:numId w:val="2"/>
        </w:numPr>
        <w:spacing w:after="40" w:before="40"/>
      </w:pPr>
      <w:r>
        <w:rPr>
          <w:rFonts w:ascii="Arial" w:cs="Arial" w:eastAsia="Arial" w:hAnsi="Arial"/>
          <w:sz w:val="22"/>
          <w:szCs w:val="22"/>
        </w:rPr>
        <w:t xml:space="preserve">Technology risk: Solana network outages or protocol changes could disrupt Zypher's infrastructure operations.</w:t>
      </w:r>
    </w:p>
    <w:p>
      <w:pPr>
        <w:pStyle w:val="ListParagraph"/>
        <w:numPr>
          <w:ilvl w:val="0"/>
          <w:numId w:val="2"/>
        </w:numPr>
        <w:spacing w:after="40" w:before="40"/>
      </w:pPr>
      <w:r>
        <w:rPr>
          <w:rFonts w:ascii="Arial" w:cs="Arial" w:eastAsia="Arial" w:hAnsi="Arial"/>
          <w:sz w:val="22"/>
          <w:szCs w:val="22"/>
        </w:rPr>
        <w:t xml:space="preserve">Liquidity risk: As an early-stage token, ZPH may experience significant price volatility and limited liquidity.</w:t>
      </w:r>
    </w:p>
    <w:p>
      <w:pPr>
        <w:pStyle w:val="ListParagraph"/>
        <w:numPr>
          <w:ilvl w:val="0"/>
          <w:numId w:val="2"/>
        </w:numPr>
        <w:spacing w:after="40" w:before="40"/>
      </w:pPr>
      <w:r>
        <w:rPr>
          <w:rFonts w:ascii="Arial" w:cs="Arial" w:eastAsia="Arial" w:hAnsi="Arial"/>
          <w:sz w:val="22"/>
          <w:szCs w:val="22"/>
        </w:rPr>
        <w:t xml:space="preserve">Execution risk: Development timelines, particularly for Phase 2 (zCARE) and federal data pipeline integration, are subject to change.</w:t>
      </w:r>
    </w:p>
    <w:p>
      <w:pPr>
        <w:spacing w:after="80" w:before="80"/>
      </w:pPr>
      <w:r>
        <w:t xml:space="preserve"/>
      </w:r>
    </w:p>
    <w:p>
      <w:pPr>
        <w:spacing w:after="80" w:before="80"/>
      </w:pPr>
      <w:r>
        <w:rPr>
          <w:rFonts w:ascii="Arial" w:cs="Arial" w:eastAsia="Arial" w:hAnsi="Arial"/>
          <w:sz w:val="22"/>
          <w:szCs w:val="22"/>
        </w:rPr>
        <w:t xml:space="preserve">This whitepaper does not constitute financial or investment advice. ZPH is a utility token designed for use within the Zypher ecosystem.</w:t>
      </w:r>
    </w:p>
    <w:p>
      <w:pPr>
        <w:pBdr>
          <w:bottom w:val="single" w:color="1A6B8A" w:sz="4" w:space="1"/>
        </w:pBdr>
        <w:spacing w:after="160" w:before="160"/>
      </w:pPr>
      <w:r>
        <w:t xml:space="preserve"/>
      </w:r>
    </w:p>
    <w:p>
      <w:pPr>
        <w:pStyle w:val="Heading1"/>
        <w:spacing w:after="120" w:before="360"/>
      </w:pPr>
      <w:r>
        <w:rPr>
          <w:rFonts w:ascii="Arial" w:cs="Arial" w:eastAsia="Arial" w:hAnsi="Arial"/>
          <w:b/>
          <w:bCs/>
          <w:color w:val="1A6B8A"/>
          <w:sz w:val="36"/>
          <w:szCs w:val="36"/>
        </w:rPr>
        <w:t xml:space="preserve">9. Legal Disclaimer</w:t>
      </w:r>
    </w:p>
    <w:p>
      <w:pPr>
        <w:spacing w:after="80" w:before="80"/>
      </w:pPr>
      <w:r>
        <w:rPr>
          <w:rFonts w:ascii="Arial" w:cs="Arial" w:eastAsia="Arial" w:hAnsi="Arial"/>
          <w:sz w:val="22"/>
          <w:szCs w:val="22"/>
        </w:rPr>
        <w:t xml:space="preserve">This whitepaper is for informational purposes only and does not constitute an offer to sell or a solicitation to buy any security, financial instrument, or investment product. ZPH is a utility token and is not intended to constitute a security in any jurisdiction.</w:t>
      </w:r>
    </w:p>
    <w:p>
      <w:pPr>
        <w:spacing w:after="80" w:before="80"/>
      </w:pPr>
      <w:r>
        <w:t xml:space="preserve"/>
      </w:r>
    </w:p>
    <w:p>
      <w:pPr>
        <w:spacing w:after="80" w:before="80"/>
      </w:pPr>
      <w:r>
        <w:rPr>
          <w:rFonts w:ascii="Arial" w:cs="Arial" w:eastAsia="Arial" w:hAnsi="Arial"/>
          <w:sz w:val="22"/>
          <w:szCs w:val="22"/>
        </w:rPr>
        <w:t xml:space="preserve">The Zypher project makes no representations or warranties regarding the accuracy, completeness, or timeliness of information contained in this document. The roadmap and technical specifications described herein are subject to change without notice.</w:t>
      </w:r>
    </w:p>
    <w:p>
      <w:pPr>
        <w:spacing w:after="80" w:before="80"/>
      </w:pPr>
      <w:r>
        <w:t xml:space="preserve"/>
      </w:r>
    </w:p>
    <w:p>
      <w:pPr>
        <w:spacing w:after="80" w:before="80"/>
      </w:pPr>
      <w:r>
        <w:rPr>
          <w:rFonts w:ascii="Arial" w:cs="Arial" w:eastAsia="Arial" w:hAnsi="Arial"/>
          <w:sz w:val="22"/>
          <w:szCs w:val="22"/>
        </w:rPr>
        <w:t xml:space="preserve">Participants in the ZPH ecosystem should conduct their own due diligence and consult qualified legal and financial advisors before making any decisions related to ZPH.</w:t>
      </w:r>
    </w:p>
    <w:p>
      <w:pPr>
        <w:pBdr>
          <w:bottom w:val="single" w:color="1A6B8A" w:sz="4" w:space="1"/>
        </w:pBdr>
        <w:spacing w:after="160" w:before="160"/>
      </w:pPr>
      <w:r>
        <w:t xml:space="preserve"/>
      </w:r>
    </w:p>
    <w:p>
      <w:pPr>
        <w:pStyle w:val="Heading1"/>
        <w:spacing w:after="120" w:before="360"/>
      </w:pPr>
      <w:r>
        <w:rPr>
          <w:rFonts w:ascii="Arial" w:cs="Arial" w:eastAsia="Arial" w:hAnsi="Arial"/>
          <w:b/>
          <w:bCs/>
          <w:color w:val="1A6B8A"/>
          <w:sz w:val="36"/>
          <w:szCs w:val="36"/>
        </w:rPr>
        <w:t xml:space="preserve">10. Contact &amp; Resources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https://zypherthecoin.github.io/Zypher/</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Twitter / 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https://twitter.com/zypherthecoin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GitHub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https://github.com/zypherthecoin/Zypher</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Jupiter Listing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https://jup.ag/tokens/8sG1MjujqWKNZKkkGQQdekuMTLJvFdP3hoohyEiUr82t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DexScreener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https://dexscreener.com/solana/8sG1MjujqWKNZKkkGQQdekuMTLJvFdP3hoohyEiUr82t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Raydium Pool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https://raydium.io/liquidity/increase/?mode=add&amp;pool_id=FKsYM7mBRR3oFPnJZYNYzSu9MjJLC4kYxatzYtPq8Aba</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sz w:val="20"/>
                <w:szCs w:val="20"/>
              </w:rPr>
              <w:t xml:space="preserve">Mint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8sG1MjujqWKNZKkkGQQdekuMTLJvFdP3hoohyEiUr82t</w:t>
            </w:r>
          </w:p>
        </w:tc>
      </w:tr>
    </w:tbl>
    <w:p>
      <w:pPr>
        <w:spacing w:after="80" w:before="80"/>
      </w:pPr>
      <w:r>
        <w:t xml:space="preserve"/>
      </w:r>
    </w:p>
    <w:p>
      <w:pPr>
        <w:spacing w:after="80" w:before="80"/>
      </w:pPr>
      <w:r>
        <w:t xml:space="preserve"/>
      </w:r>
    </w:p>
    <w:p>
      <w:pPr>
        <w:jc w:val="center"/>
      </w:pPr>
      <w:r>
        <w:rPr>
          <w:rFonts w:ascii="Arial" w:cs="Arial" w:eastAsia="Arial" w:hAnsi="Arial"/>
          <w:b/>
          <w:bCs/>
          <w:i/>
          <w:iCs/>
          <w:color w:val="1A6B8A"/>
          <w:sz w:val="24"/>
          <w:szCs w:val="24"/>
        </w:rPr>
        <w:t xml:space="preserve">Zypher — Building the data layer that healthcare payments need.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6"/>
        <w:szCs w:val="16"/>
      </w:rPr>
      <w:t xml:space="preserve">© 2026 Zypher Project. All rights reserved.</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8A" w:sz="4" w:space="1"/>
      </w:pBdr>
    </w:pPr>
    <w:r>
      <w:rPr>
        <w:rFonts w:ascii="Arial" w:cs="Arial" w:eastAsia="Arial" w:hAnsi="Arial"/>
        <w:b/>
        <w:bCs/>
        <w:color w:val="1A6B8A"/>
        <w:sz w:val="18"/>
        <w:szCs w:val="18"/>
      </w:rPr>
      <w:t xml:space="preserve">ZYPHER (ZPH) — WHITEPAPER</w:t>
    </w:r>
    <w:r>
      <w:rPr>
        <w:rFonts w:ascii="Arial" w:cs="Arial" w:eastAsia="Arial" w:hAnsi="Arial"/>
        <w:color w:val="888888"/>
        <w:sz w:val="18"/>
        <w:szCs w:val="18"/>
      </w:rPr>
      <w:t xml:space="preserve">   |   Healthcare Payments Infrastructure on Solana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B8A"/>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8B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2026-06-01T14:37:42.393Z</dcterms:created>
  <dcterms:modified xsi:type="dcterms:W3CDTF">2026-06-01T14:37:42.393Z</dcterms:modified>
</cp:coreProperties>
</file>

<file path=docProps/custom.xml><?xml version="1.0" encoding="utf-8"?>
<Properties xmlns="http://schemas.openxmlformats.org/officeDocument/2006/custom-properties" xmlns:vt="http://schemas.openxmlformats.org/officeDocument/2006/docPropsVTypes"/>
</file>