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A1A2E"/>
          <w:sz w:val="96"/>
          <w:szCs w:val="96"/>
        </w:rPr>
        <w:t xml:space="preserve">ZYPHER</w:t>
      </w:r>
    </w:p>
    <w:p>
      <w:pPr>
        <w:spacing w:after="240"/>
        <w:jc w:val="center"/>
      </w:pPr>
      <w:r>
        <w:rPr>
          <w:rFonts w:ascii="Arial" w:cs="Arial" w:eastAsia="Arial" w:hAnsi="Arial"/>
          <w:color w:val="0A7A5E"/>
          <w:sz w:val="36"/>
          <w:szCs w:val="36"/>
        </w:rPr>
        <w:t xml:space="preserve">ZPH Protocol Whitepaper</w:t>
      </w:r>
    </w:p>
    <w:p>
      <w:pPr>
        <w:spacing w:after="480"/>
        <w:jc w:val="center"/>
      </w:pPr>
      <w:r>
        <w:rPr>
          <w:rFonts w:ascii="Georgia" w:cs="Georgia" w:eastAsia="Georgia" w:hAnsi="Georgia"/>
          <w:i/>
          <w:iCs/>
          <w:color w:val="555555"/>
          <w:sz w:val="28"/>
          <w:szCs w:val="28"/>
        </w:rPr>
        <w:t xml:space="preserve">Healthcare Payments Infrastructure on Solana</w:t>
      </w:r>
    </w:p>
    <w:p>
      <w:pPr>
        <w:pBdr>
          <w:bottom w:val="single" w:color="DDDDDD" w:sz="2" w:space="1"/>
        </w:pBdr>
        <w:spacing w:after="240"/>
      </w:pPr>
      <w:r>
        <w:t xml:space="preserve"/>
      </w:r>
    </w:p>
    <w:p>
      <w:pPr>
        <w:spacing w:after="120"/>
        <w:jc w:val="center"/>
      </w:pPr>
      <w:r>
        <w:rPr>
          <w:rFonts w:ascii="Arial" w:cs="Arial" w:eastAsia="Arial" w:hAnsi="Arial"/>
          <w:color w:val="555555"/>
          <w:sz w:val="22"/>
          <w:szCs w:val="22"/>
        </w:rPr>
        <w:t xml:space="preserve">Version 1.0  |  April 2026</w:t>
      </w:r>
    </w:p>
    <w:p>
      <w:pPr>
        <w:spacing w:after="120"/>
        <w:jc w:val="center"/>
      </w:pPr>
      <w:r>
        <w:rPr>
          <w:rFonts w:ascii="Courier New" w:cs="Courier New" w:eastAsia="Courier New" w:hAnsi="Courier New"/>
          <w:color w:val="555555"/>
          <w:sz w:val="20"/>
          <w:szCs w:val="20"/>
        </w:rPr>
        <w:t xml:space="preserve">Mint Address: 8sG1MjujqWKNZKkkGQQdekuMTLJvFdP3hoohyEiUr82t</w:t>
      </w:r>
    </w:p>
    <w:p>
      <w:pPr>
        <w:spacing w:after="120"/>
        <w:jc w:val="center"/>
      </w:pPr>
      <w:r>
        <w:rPr>
          <w:rFonts w:ascii="Arial" w:cs="Arial" w:eastAsia="Arial" w:hAnsi="Arial"/>
          <w:color w:val="555555"/>
          <w:sz w:val="20"/>
          <w:szCs w:val="20"/>
        </w:rPr>
        <w:t xml:space="preserve">Network: Solana  |  Twitter: @ZypherZPH</w:t>
      </w:r>
    </w:p>
    <w:p>
      <w:r>
        <w:br w:type="page"/>
      </w:r>
    </w:p>
    <w:p>
      <w:pPr>
        <w:pStyle w:val="Heading1"/>
      </w:pPr>
      <w:r>
        <w:t xml:space="preserve">Abstract</w:t>
      </w:r>
    </w:p>
    <w:p>
      <w:pPr>
        <w:spacing w:after="160" w:line="360"/>
        <w:jc w:val="left"/>
      </w:pPr>
      <w:r>
        <w:rPr>
          <w:rFonts w:ascii="Georgia" w:cs="Georgia" w:eastAsia="Georgia" w:hAnsi="Georgia"/>
          <w:color w:val="333333"/>
          <w:sz w:val="24"/>
          <w:szCs w:val="24"/>
        </w:rPr>
        <w:t xml:space="preserve">Zypher (ZPH) is a decentralized healthcare payments protocol built on the Solana blockchain. The United States healthcare system loses over $80 billion annually to uncompensated care, driven in large part by fragmented payment infrastructure, inaccurate provider directories, and settlement rails that were not designed for the complexity of modern healthcare transactions.</w:t>
      </w:r>
    </w:p>
    <w:p>
      <w:pPr>
        <w:spacing w:after="120"/>
      </w:pPr>
      <w:r>
        <w:t xml:space="preserve"/>
      </w:r>
    </w:p>
    <w:p>
      <w:pPr>
        <w:spacing w:after="160" w:line="360"/>
        <w:jc w:val="left"/>
      </w:pPr>
      <w:r>
        <w:rPr>
          <w:rFonts w:ascii="Georgia" w:cs="Georgia" w:eastAsia="Georgia" w:hAnsi="Georgia"/>
          <w:color w:val="333333"/>
          <w:sz w:val="24"/>
          <w:szCs w:val="24"/>
        </w:rPr>
        <w:t xml:space="preserve">Zypher proposes a two-phase solution. Phase 1 establishes ZPH, the native protocol token, on Solana — providing the liquidity and governance foundation for the network. Phase 2 introduces zCARE, a purpose-built stable payment token connected to authoritative federal data pipelines including the National Plan and Provider Enumeration System (NPPES), the Centers for Medicare &amp; Medicaid Services (CMS), and the Health Resources and Services Administration (HRSA).</w:t>
      </w:r>
    </w:p>
    <w:p>
      <w:pPr>
        <w:spacing w:after="120"/>
      </w:pPr>
      <w:r>
        <w:t xml:space="preserve"/>
      </w:r>
    </w:p>
    <w:p>
      <w:pPr>
        <w:spacing w:after="160" w:line="360"/>
        <w:jc w:val="left"/>
      </w:pPr>
      <w:r>
        <w:rPr>
          <w:rFonts w:ascii="Georgia" w:cs="Georgia" w:eastAsia="Georgia" w:hAnsi="Georgia"/>
          <w:color w:val="333333"/>
          <w:sz w:val="24"/>
          <w:szCs w:val="24"/>
        </w:rPr>
        <w:t xml:space="preserve">By anchoring payment routing to verified on-chain provider identity and using Solana's sub-second finality and sub-cent transaction costs, Zypher aims to become the programmable settlement layer for healthcare — transparent, auditable, and accessible to providers, payers, and patients.</w:t>
      </w:r>
    </w:p>
    <w:p>
      <w:r>
        <w:br w:type="page"/>
      </w:r>
    </w:p>
    <w:p>
      <w:pPr>
        <w:pStyle w:val="Heading1"/>
      </w:pPr>
      <w:r>
        <w:t xml:space="preserve">Table of Contents</w:t>
      </w:r>
    </w:p>
    <w:p>
      <w:pPr>
        <w:spacing w:after="160" w:line="360"/>
        <w:jc w:val="left"/>
      </w:pPr>
      <w:r>
        <w:rPr>
          <w:rFonts w:ascii="Georgia" w:cs="Georgia" w:eastAsia="Georgia" w:hAnsi="Georgia"/>
          <w:color w:val="1A1A2E"/>
          <w:sz w:val="24"/>
          <w:szCs w:val="24"/>
        </w:rPr>
        <w:t xml:space="preserve">1.  Introduction</w:t>
      </w:r>
    </w:p>
    <w:p>
      <w:pPr>
        <w:spacing w:after="160" w:line="360"/>
        <w:jc w:val="left"/>
      </w:pPr>
      <w:r>
        <w:rPr>
          <w:rFonts w:ascii="Georgia" w:cs="Georgia" w:eastAsia="Georgia" w:hAnsi="Georgia"/>
          <w:color w:val="1A1A2E"/>
          <w:sz w:val="24"/>
          <w:szCs w:val="24"/>
        </w:rPr>
        <w:t xml:space="preserve">2.  The Problem</w:t>
      </w:r>
    </w:p>
    <w:p>
      <w:pPr>
        <w:spacing w:after="160" w:line="360"/>
        <w:jc w:val="left"/>
      </w:pPr>
      <w:r>
        <w:rPr>
          <w:rFonts w:ascii="Georgia" w:cs="Georgia" w:eastAsia="Georgia" w:hAnsi="Georgia"/>
          <w:color w:val="1A1A2E"/>
          <w:sz w:val="24"/>
          <w:szCs w:val="24"/>
        </w:rPr>
        <w:t xml:space="preserve">3.  The Zypher Solution</w:t>
      </w:r>
    </w:p>
    <w:p>
      <w:pPr>
        <w:spacing w:after="160" w:line="360"/>
        <w:jc w:val="left"/>
      </w:pPr>
      <w:r>
        <w:rPr>
          <w:rFonts w:ascii="Georgia" w:cs="Georgia" w:eastAsia="Georgia" w:hAnsi="Georgia"/>
          <w:color w:val="1A1A2E"/>
          <w:sz w:val="24"/>
          <w:szCs w:val="24"/>
        </w:rPr>
        <w:t xml:space="preserve">4.  Protocol Architecture</w:t>
      </w:r>
    </w:p>
    <w:p>
      <w:pPr>
        <w:spacing w:after="160" w:line="360"/>
        <w:jc w:val="left"/>
      </w:pPr>
      <w:r>
        <w:rPr>
          <w:rFonts w:ascii="Georgia" w:cs="Georgia" w:eastAsia="Georgia" w:hAnsi="Georgia"/>
          <w:color w:val="1A1A2E"/>
          <w:sz w:val="24"/>
          <w:szCs w:val="24"/>
        </w:rPr>
        <w:t xml:space="preserve">5.  Token Economics</w:t>
      </w:r>
    </w:p>
    <w:p>
      <w:pPr>
        <w:spacing w:after="160" w:line="360"/>
        <w:jc w:val="left"/>
      </w:pPr>
      <w:r>
        <w:rPr>
          <w:rFonts w:ascii="Georgia" w:cs="Georgia" w:eastAsia="Georgia" w:hAnsi="Georgia"/>
          <w:color w:val="1A1A2E"/>
          <w:sz w:val="24"/>
          <w:szCs w:val="24"/>
        </w:rPr>
        <w:t xml:space="preserve">6.  Federal Data Integration</w:t>
      </w:r>
    </w:p>
    <w:p>
      <w:pPr>
        <w:spacing w:after="160" w:line="360"/>
        <w:jc w:val="left"/>
      </w:pPr>
      <w:r>
        <w:rPr>
          <w:rFonts w:ascii="Georgia" w:cs="Georgia" w:eastAsia="Georgia" w:hAnsi="Georgia"/>
          <w:color w:val="1A1A2E"/>
          <w:sz w:val="24"/>
          <w:szCs w:val="24"/>
        </w:rPr>
        <w:t xml:space="preserve">7.  Roadmap</w:t>
      </w:r>
    </w:p>
    <w:p>
      <w:pPr>
        <w:spacing w:after="160" w:line="360"/>
        <w:jc w:val="left"/>
      </w:pPr>
      <w:r>
        <w:rPr>
          <w:rFonts w:ascii="Georgia" w:cs="Georgia" w:eastAsia="Georgia" w:hAnsi="Georgia"/>
          <w:color w:val="1A1A2E"/>
          <w:sz w:val="24"/>
          <w:szCs w:val="24"/>
        </w:rPr>
        <w:t xml:space="preserve">8.  Risk Factors</w:t>
      </w:r>
    </w:p>
    <w:p>
      <w:pPr>
        <w:spacing w:after="160" w:line="360"/>
        <w:jc w:val="left"/>
      </w:pPr>
      <w:r>
        <w:rPr>
          <w:rFonts w:ascii="Georgia" w:cs="Georgia" w:eastAsia="Georgia" w:hAnsi="Georgia"/>
          <w:color w:val="1A1A2E"/>
          <w:sz w:val="24"/>
          <w:szCs w:val="24"/>
        </w:rPr>
        <w:t xml:space="preserve">9.  Disclaimer</w:t>
      </w:r>
    </w:p>
    <w:p>
      <w:r>
        <w:br w:type="page"/>
      </w:r>
    </w:p>
    <w:p>
      <w:pPr>
        <w:pStyle w:val="Heading1"/>
      </w:pPr>
      <w:r>
        <w:t xml:space="preserve">1. Introduction</w:t>
      </w:r>
    </w:p>
    <w:p>
      <w:pPr>
        <w:spacing w:after="160" w:line="360"/>
        <w:jc w:val="left"/>
      </w:pPr>
      <w:r>
        <w:rPr>
          <w:rFonts w:ascii="Georgia" w:cs="Georgia" w:eastAsia="Georgia" w:hAnsi="Georgia"/>
          <w:color w:val="333333"/>
          <w:sz w:val="24"/>
          <w:szCs w:val="24"/>
        </w:rPr>
        <w:t xml:space="preserve">The American healthcare payment system is one of the most complex financial networks in the world — and one of the most inefficient. Tens of thousands of payers, hundreds of thousands of providers, and hundreds of millions of patients interact through a web of legacy billing systems, clearinghouses, and intermediaries built decades ago.</w:t>
      </w:r>
    </w:p>
    <w:p>
      <w:pPr>
        <w:spacing w:after="120"/>
      </w:pPr>
      <w:r>
        <w:t xml:space="preserve"/>
      </w:r>
    </w:p>
    <w:p>
      <w:pPr>
        <w:spacing w:after="160" w:line="360"/>
        <w:jc w:val="left"/>
      </w:pPr>
      <w:r>
        <w:rPr>
          <w:rFonts w:ascii="Georgia" w:cs="Georgia" w:eastAsia="Georgia" w:hAnsi="Georgia"/>
          <w:color w:val="333333"/>
          <w:sz w:val="24"/>
          <w:szCs w:val="24"/>
        </w:rPr>
        <w:t xml:space="preserve">The consequences are measurable and severe. Hospitals and health systems write off over $80 billion in uncompensated care every year. A significant portion of claim denials — estimated at 30 to 40 percent — stem from administrative errors rooted in bad data: incorrect provider identifiers, stale directory information, and misrouted payments.</w:t>
      </w:r>
    </w:p>
    <w:p>
      <w:pPr>
        <w:spacing w:after="120"/>
      </w:pPr>
      <w:r>
        <w:t xml:space="preserve"/>
      </w:r>
    </w:p>
    <w:p>
      <w:pPr>
        <w:spacing w:after="160" w:line="360"/>
        <w:jc w:val="left"/>
      </w:pPr>
      <w:r>
        <w:rPr>
          <w:rFonts w:ascii="Georgia" w:cs="Georgia" w:eastAsia="Georgia" w:hAnsi="Georgia"/>
          <w:color w:val="333333"/>
          <w:sz w:val="24"/>
          <w:szCs w:val="24"/>
        </w:rPr>
        <w:t xml:space="preserve">Blockchain technology offers a genuine structural solution to this problem — not as a speculative asset, but as payment infrastructure. Solana, with its throughput of 65,000 transactions per second, sub-second finality, and near-zero transaction costs, is uniquely suited to serve as the settlement layer for healthcare payments at scale.</w:t>
      </w:r>
    </w:p>
    <w:p>
      <w:pPr>
        <w:spacing w:after="120"/>
      </w:pPr>
      <w:r>
        <w:t xml:space="preserve"/>
      </w:r>
    </w:p>
    <w:p>
      <w:pPr>
        <w:spacing w:after="160" w:line="360"/>
        <w:jc w:val="left"/>
      </w:pPr>
      <w:r>
        <w:rPr>
          <w:rFonts w:ascii="Georgia" w:cs="Georgia" w:eastAsia="Georgia" w:hAnsi="Georgia"/>
          <w:color w:val="333333"/>
          <w:sz w:val="24"/>
          <w:szCs w:val="24"/>
        </w:rPr>
        <w:t xml:space="preserve">Zypher is being built to fill this gap: a protocol that brings together decentralized payment rails, verifiable provider identity anchored to federal data, and programmable payment logic — all on Solana.</w:t>
      </w:r>
    </w:p>
    <w:p>
      <w:r>
        <w:br w:type="page"/>
      </w:r>
    </w:p>
    <w:p>
      <w:pPr>
        <w:pStyle w:val="Heading1"/>
      </w:pPr>
      <w:r>
        <w:t xml:space="preserve">2. The Problem</w:t>
      </w:r>
    </w:p>
    <w:p>
      <w:pPr>
        <w:pStyle w:val="Heading2"/>
      </w:pPr>
      <w:r>
        <w:t xml:space="preserve">2.1 Uncompensated Care at Scale</w:t>
      </w:r>
    </w:p>
    <w:p>
      <w:pPr>
        <w:spacing w:after="160" w:line="360"/>
        <w:jc w:val="left"/>
      </w:pPr>
      <w:r>
        <w:rPr>
          <w:rFonts w:ascii="Georgia" w:cs="Georgia" w:eastAsia="Georgia" w:hAnsi="Georgia"/>
          <w:color w:val="333333"/>
          <w:sz w:val="24"/>
          <w:szCs w:val="24"/>
        </w:rPr>
        <w:t xml:space="preserve">The American Hospital Association reports that U.S. hospitals provided over $80 billion in uncompensated care in recent years. Uncompensated care encompasses both charity care — services provided to patients who cannot pay — and bad debt, which includes services billed but never collected. While charity care reflects deliberate policy choices, bad debt is largely a symptom of broken payment infrastructure.</w:t>
      </w:r>
    </w:p>
    <w:p>
      <w:pPr>
        <w:spacing w:after="120"/>
      </w:pPr>
      <w:r>
        <w:t xml:space="preserve"/>
      </w:r>
    </w:p>
    <w:p>
      <w:pPr>
        <w:spacing w:after="200"/>
      </w:pPr>
      <w:r>
        <w:rPr>
          <w:rFonts w:ascii="Arial" w:cs="Arial" w:eastAsia="Arial" w:hAnsi="Arial"/>
          <w:b/>
          <w:bCs/>
          <w:color w:val="0A7A5E"/>
          <w:sz w:val="48"/>
          <w:szCs w:val="48"/>
        </w:rPr>
        <w:t xml:space="preserve">$80B+</w:t>
      </w:r>
      <w:r>
        <w:rPr>
          <w:rFonts w:ascii="Georgia" w:cs="Georgia" w:eastAsia="Georgia" w:hAnsi="Georgia"/>
          <w:color w:val="555555"/>
          <w:sz w:val="22"/>
          <w:szCs w:val="22"/>
        </w:rPr>
        <w:t xml:space="preserve">   in annual uncompensated care at U.S. hospitals</w:t>
      </w:r>
    </w:p>
    <w:p>
      <w:pPr>
        <w:spacing w:after="200"/>
      </w:pPr>
      <w:r>
        <w:rPr>
          <w:rFonts w:ascii="Arial" w:cs="Arial" w:eastAsia="Arial" w:hAnsi="Arial"/>
          <w:b/>
          <w:bCs/>
          <w:color w:val="0A7A5E"/>
          <w:sz w:val="48"/>
          <w:szCs w:val="48"/>
        </w:rPr>
        <w:t xml:space="preserve">30–40%</w:t>
      </w:r>
      <w:r>
        <w:rPr>
          <w:rFonts w:ascii="Georgia" w:cs="Georgia" w:eastAsia="Georgia" w:hAnsi="Georgia"/>
          <w:color w:val="555555"/>
          <w:sz w:val="22"/>
          <w:szCs w:val="22"/>
        </w:rPr>
        <w:t xml:space="preserve">   of claim denials attributed to administrative data errors</w:t>
      </w:r>
    </w:p>
    <w:p>
      <w:pPr>
        <w:spacing w:after="200"/>
      </w:pPr>
      <w:r>
        <w:rPr>
          <w:rFonts w:ascii="Arial" w:cs="Arial" w:eastAsia="Arial" w:hAnsi="Arial"/>
          <w:b/>
          <w:bCs/>
          <w:color w:val="0A7A5E"/>
          <w:sz w:val="48"/>
          <w:szCs w:val="48"/>
        </w:rPr>
        <w:t xml:space="preserve">3–5 days</w:t>
      </w:r>
      <w:r>
        <w:rPr>
          <w:rFonts w:ascii="Georgia" w:cs="Georgia" w:eastAsia="Georgia" w:hAnsi="Georgia"/>
          <w:color w:val="555555"/>
          <w:sz w:val="22"/>
          <w:szCs w:val="22"/>
        </w:rPr>
        <w:t xml:space="preserve">   average time for healthcare payment settlement</w:t>
      </w:r>
    </w:p>
    <w:p>
      <w:pPr>
        <w:pStyle w:val="Heading2"/>
      </w:pPr>
      <w:r>
        <w:t xml:space="preserve">2.2 The Provider Directory Problem</w:t>
      </w:r>
    </w:p>
    <w:p>
      <w:pPr>
        <w:spacing w:after="160" w:line="360"/>
        <w:jc w:val="left"/>
      </w:pPr>
      <w:r>
        <w:rPr>
          <w:rFonts w:ascii="Georgia" w:cs="Georgia" w:eastAsia="Georgia" w:hAnsi="Georgia"/>
          <w:color w:val="333333"/>
          <w:sz w:val="24"/>
          <w:szCs w:val="24"/>
        </w:rPr>
        <w:t xml:space="preserve">Provider directories — the databases that payers and health systems use to route payments and verify provider credentials — are notoriously inaccurate. Studies have estimated that between 30 and 50 percent of provider directory entries contain at least one significant error: wrong address, incorrect specialty, outdated affiliation, or inactive National Provider Identifier (NPI).</w:t>
      </w:r>
    </w:p>
    <w:p>
      <w:pPr>
        <w:spacing w:after="120"/>
      </w:pPr>
      <w:r>
        <w:t xml:space="preserve"/>
      </w:r>
    </w:p>
    <w:p>
      <w:pPr>
        <w:spacing w:after="160" w:line="360"/>
        <w:jc w:val="left"/>
      </w:pPr>
      <w:r>
        <w:rPr>
          <w:rFonts w:ascii="Georgia" w:cs="Georgia" w:eastAsia="Georgia" w:hAnsi="Georgia"/>
          <w:color w:val="333333"/>
          <w:sz w:val="24"/>
          <w:szCs w:val="24"/>
        </w:rPr>
        <w:t xml:space="preserve">When payments are routed using inaccurate directory data, the consequences cascade: claims are denied, payments are delayed or misdirected, and providers spend significant administrative resources on rework. The downstream cost to the healthcare system is measured in billions of dollars annually.</w:t>
      </w:r>
    </w:p>
    <w:p>
      <w:pPr>
        <w:pStyle w:val="Heading2"/>
      </w:pPr>
      <w:r>
        <w:t xml:space="preserve">2.3 Legacy Settlement Infrastructure</w:t>
      </w:r>
    </w:p>
    <w:p>
      <w:pPr>
        <w:spacing w:after="160" w:line="360"/>
        <w:jc w:val="left"/>
      </w:pPr>
      <w:r>
        <w:rPr>
          <w:rFonts w:ascii="Georgia" w:cs="Georgia" w:eastAsia="Georgia" w:hAnsi="Georgia"/>
          <w:color w:val="333333"/>
          <w:sz w:val="24"/>
          <w:szCs w:val="24"/>
        </w:rPr>
        <w:t xml:space="preserve">Healthcare payment settlement relies on infrastructure built in an era before the internet: ACH batch processing, paper-based EOBs (Explanation of Benefits), and clearinghouse intermediaries that introduce latency and fees at every step. The result is a system where the average healthcare payment takes three to five business days to settle — an eternity compared to the real-time settlement now standard in consumer finance.</w:t>
      </w:r>
    </w:p>
    <w:p>
      <w:pPr>
        <w:spacing w:after="120"/>
      </w:pPr>
      <w:r>
        <w:t xml:space="preserve"/>
      </w:r>
    </w:p>
    <w:p>
      <w:pPr>
        <w:spacing w:after="160" w:line="360"/>
        <w:jc w:val="left"/>
      </w:pPr>
      <w:r>
        <w:rPr>
          <w:rFonts w:ascii="Georgia" w:cs="Georgia" w:eastAsia="Georgia" w:hAnsi="Georgia"/>
          <w:color w:val="333333"/>
          <w:sz w:val="24"/>
          <w:szCs w:val="24"/>
        </w:rPr>
        <w:t xml:space="preserve">Providers operating on thin margins — particularly rural hospitals and independent practices — bear the cash flow burden of this latency. In an industry where many facilities operate on margins of 1 to 3 percent, delayed payment is not a minor inconvenience: it is an existential threat.</w:t>
      </w:r>
    </w:p>
    <w:p>
      <w:pPr>
        <w:pStyle w:val="Heading2"/>
      </w:pPr>
      <w:r>
        <w:t xml:space="preserve">2.4 Lack of Auditability</w:t>
      </w:r>
    </w:p>
    <w:p>
      <w:pPr>
        <w:spacing w:after="160" w:line="360"/>
        <w:jc w:val="left"/>
      </w:pPr>
      <w:r>
        <w:rPr>
          <w:rFonts w:ascii="Georgia" w:cs="Georgia" w:eastAsia="Georgia" w:hAnsi="Georgia"/>
          <w:color w:val="333333"/>
          <w:sz w:val="24"/>
          <w:szCs w:val="24"/>
        </w:rPr>
        <w:t xml:space="preserve">When payment disputes arise — and in healthcare, they arise constantly — resolving them requires reconstructing a payment's journey through a chain of intermediaries, each with their own systems and records. There is no shared ledger. There is no single source of truth. There is no way to instantly verify what was billed, routed, and paid without manual reconciliation across multiple systems.</w:t>
      </w:r>
    </w:p>
    <w:p>
      <w:r>
        <w:br w:type="page"/>
      </w:r>
    </w:p>
    <w:p>
      <w:pPr>
        <w:pStyle w:val="Heading1"/>
      </w:pPr>
      <w:r>
        <w:t xml:space="preserve">3. The Zypher Solution</w:t>
      </w:r>
    </w:p>
    <w:p>
      <w:pPr>
        <w:pStyle w:val="Heading2"/>
      </w:pPr>
      <w:r>
        <w:t xml:space="preserve">3.1 Overview</w:t>
      </w:r>
    </w:p>
    <w:p>
      <w:pPr>
        <w:spacing w:after="160" w:line="360"/>
        <w:jc w:val="left"/>
      </w:pPr>
      <w:r>
        <w:rPr>
          <w:rFonts w:ascii="Georgia" w:cs="Georgia" w:eastAsia="Georgia" w:hAnsi="Georgia"/>
          <w:color w:val="333333"/>
          <w:sz w:val="24"/>
          <w:szCs w:val="24"/>
        </w:rPr>
        <w:t xml:space="preserve">Zypher is designed as a two-layer protocol. The base layer is ZPH — the native protocol token that powers governance, incentives, and network participation. The application layer is zCARE — a stable payment token purpose-built for healthcare transactions, designed to move value between payers, providers, and patients without exposing any party to cryptocurrency price volatility.</w:t>
      </w:r>
    </w:p>
    <w:p>
      <w:pPr>
        <w:spacing w:after="120"/>
      </w:pPr>
      <w:r>
        <w:t xml:space="preserve"/>
      </w:r>
    </w:p>
    <w:p>
      <w:pPr>
        <w:spacing w:after="160" w:line="360"/>
        <w:jc w:val="left"/>
      </w:pPr>
      <w:r>
        <w:rPr>
          <w:rFonts w:ascii="Georgia" w:cs="Georgia" w:eastAsia="Georgia" w:hAnsi="Georgia"/>
          <w:color w:val="333333"/>
          <w:sz w:val="24"/>
          <w:szCs w:val="24"/>
        </w:rPr>
        <w:t xml:space="preserve">The protocol's defining architectural choice is its connection to authoritative federal data pipelines. Rather than building a siloed identity layer from scratch, Zypher anchors provider identity to the existing federal infrastructure that the healthcare industry already relies on — NPPES, CMS, and HRSA — and brings that verified identity on-chain.</w:t>
      </w:r>
    </w:p>
    <w:p>
      <w:pPr>
        <w:pStyle w:val="Heading2"/>
      </w:pPr>
      <w:r>
        <w:t xml:space="preserve">3.2 Why Solana</w:t>
      </w:r>
    </w:p>
    <w:p>
      <w:pPr>
        <w:spacing w:after="160" w:line="360"/>
        <w:jc w:val="left"/>
      </w:pPr>
      <w:r>
        <w:rPr>
          <w:rFonts w:ascii="Georgia" w:cs="Georgia" w:eastAsia="Georgia" w:hAnsi="Georgia"/>
          <w:color w:val="333333"/>
          <w:sz w:val="24"/>
          <w:szCs w:val="24"/>
        </w:rPr>
        <w:t xml:space="preserve">The choice of Solana as the underlying blockchain is not incidental. Healthcare payments require transaction throughput and costs that no other major blockchain currently provides:</w:t>
      </w:r>
    </w:p>
    <w:p>
      <w:pPr>
        <w:spacing w:after="120"/>
      </w:pPr>
      <w:r>
        <w:t xml:space="preserve"/>
      </w:r>
    </w:p>
    <w:p>
      <w:pPr>
        <w:pStyle w:val="ListParagraph"/>
        <w:numPr>
          <w:ilvl w:val="0"/>
          <w:numId w:val="2"/>
        </w:numPr>
        <w:spacing w:after="100"/>
      </w:pPr>
      <w:r>
        <w:rPr>
          <w:rFonts w:ascii="Georgia" w:cs="Georgia" w:eastAsia="Georgia" w:hAnsi="Georgia"/>
          <w:color w:val="333333"/>
          <w:sz w:val="24"/>
          <w:szCs w:val="24"/>
        </w:rPr>
        <w:t xml:space="preserve">Throughput: Solana processes up to 65,000 transactions per second — sufficient for national-scale healthcare payment volume</w:t>
      </w:r>
    </w:p>
    <w:p>
      <w:pPr>
        <w:pStyle w:val="ListParagraph"/>
        <w:numPr>
          <w:ilvl w:val="0"/>
          <w:numId w:val="2"/>
        </w:numPr>
        <w:spacing w:after="100"/>
      </w:pPr>
      <w:r>
        <w:rPr>
          <w:rFonts w:ascii="Georgia" w:cs="Georgia" w:eastAsia="Georgia" w:hAnsi="Georgia"/>
          <w:color w:val="333333"/>
          <w:sz w:val="24"/>
          <w:szCs w:val="24"/>
        </w:rPr>
        <w:t xml:space="preserve">Finality: Transactions achieve finality in under 0.4 seconds — enabling real-time payment confirmation</w:t>
      </w:r>
    </w:p>
    <w:p>
      <w:pPr>
        <w:pStyle w:val="ListParagraph"/>
        <w:numPr>
          <w:ilvl w:val="0"/>
          <w:numId w:val="2"/>
        </w:numPr>
        <w:spacing w:after="100"/>
      </w:pPr>
      <w:r>
        <w:rPr>
          <w:rFonts w:ascii="Georgia" w:cs="Georgia" w:eastAsia="Georgia" w:hAnsi="Georgia"/>
          <w:color w:val="333333"/>
          <w:sz w:val="24"/>
          <w:szCs w:val="24"/>
        </w:rPr>
        <w:t xml:space="preserve">Cost: Average transaction costs of less than $0.001 — essential for high-volume, low-margin healthcare billing</w:t>
      </w:r>
    </w:p>
    <w:p>
      <w:pPr>
        <w:pStyle w:val="ListParagraph"/>
        <w:numPr>
          <w:ilvl w:val="0"/>
          <w:numId w:val="2"/>
        </w:numPr>
        <w:spacing w:after="100"/>
      </w:pPr>
      <w:r>
        <w:rPr>
          <w:rFonts w:ascii="Georgia" w:cs="Georgia" w:eastAsia="Georgia" w:hAnsi="Georgia"/>
          <w:color w:val="333333"/>
          <w:sz w:val="24"/>
          <w:szCs w:val="24"/>
        </w:rPr>
        <w:t xml:space="preserve">Ecosystem: Raydium, Jupiter, and a mature DeFi ecosystem provide immediate liquidity infrastructure</w:t>
      </w:r>
    </w:p>
    <w:p>
      <w:pPr>
        <w:spacing w:after="120"/>
      </w:pPr>
      <w:r>
        <w:t xml:space="preserve"/>
      </w:r>
    </w:p>
    <w:p>
      <w:pPr>
        <w:spacing w:after="160" w:line="360"/>
        <w:jc w:val="left"/>
      </w:pPr>
      <w:r>
        <w:rPr>
          <w:rFonts w:ascii="Georgia" w:cs="Georgia" w:eastAsia="Georgia" w:hAnsi="Georgia"/>
          <w:color w:val="333333"/>
          <w:sz w:val="24"/>
          <w:szCs w:val="24"/>
        </w:rPr>
        <w:t xml:space="preserve">Ethereum and its Layer 2 solutions, while valuable for many use cases, introduce gas fee variability and settlement delays that are incompatible with the requirements of healthcare payment infrastructure at scale.</w:t>
      </w:r>
    </w:p>
    <w:p>
      <w:pPr>
        <w:pStyle w:val="Heading2"/>
      </w:pPr>
      <w:r>
        <w:t xml:space="preserve">3.3 Core Protocol Properties</w:t>
      </w:r>
    </w:p>
    <w:p>
      <w:pPr>
        <w:spacing w:after="160" w:line="360"/>
        <w:jc w:val="left"/>
      </w:pPr>
      <w:r>
        <w:rPr>
          <w:rFonts w:ascii="Georgia" w:cs="Georgia" w:eastAsia="Georgia" w:hAnsi="Georgia"/>
          <w:color w:val="333333"/>
          <w:sz w:val="24"/>
          <w:szCs w:val="24"/>
        </w:rPr>
        <w:t xml:space="preserve">The Zypher protocol is designed around four core properties:</w:t>
      </w:r>
    </w:p>
    <w:p>
      <w:pPr>
        <w:spacing w:after="120"/>
      </w:pPr>
      <w:r>
        <w:t xml:space="preserve"/>
      </w:r>
    </w:p>
    <w:p>
      <w:pPr>
        <w:spacing w:after="120" w:line="360"/>
      </w:pPr>
      <w:r>
        <w:rPr>
          <w:rFonts w:ascii="Arial" w:cs="Arial" w:eastAsia="Arial" w:hAnsi="Arial"/>
          <w:b/>
          <w:bCs/>
          <w:color w:val="1A1A2E"/>
          <w:sz w:val="24"/>
          <w:szCs w:val="24"/>
        </w:rPr>
        <w:t xml:space="preserve">Verifiable Identity:</w:t>
      </w:r>
      <w:r>
        <w:rPr>
          <w:rFonts w:ascii="Georgia" w:cs="Georgia" w:eastAsia="Georgia" w:hAnsi="Georgia"/>
          <w:color w:val="333333"/>
          <w:sz w:val="24"/>
          <w:szCs w:val="24"/>
        </w:rPr>
        <w:t xml:space="preserve"> Provider identities are anchored to NPI numbers from the NPPES registry, creating an on-chain source of truth that is traceable to federal records.</w:t>
      </w:r>
    </w:p>
    <w:p>
      <w:pPr>
        <w:spacing w:after="120" w:line="360"/>
      </w:pPr>
      <w:r>
        <w:rPr>
          <w:rFonts w:ascii="Arial" w:cs="Arial" w:eastAsia="Arial" w:hAnsi="Arial"/>
          <w:b/>
          <w:bCs/>
          <w:color w:val="1A1A2E"/>
          <w:sz w:val="24"/>
          <w:szCs w:val="24"/>
        </w:rPr>
        <w:t xml:space="preserve">Programmable Payments:</w:t>
      </w:r>
      <w:r>
        <w:rPr>
          <w:rFonts w:ascii="Georgia" w:cs="Georgia" w:eastAsia="Georgia" w:hAnsi="Georgia"/>
          <w:color w:val="333333"/>
          <w:sz w:val="24"/>
          <w:szCs w:val="24"/>
        </w:rPr>
        <w:t xml:space="preserve"> Payment logic is encoded in smart contracts — enabling conditional payment release, escrow, and automated reconciliation without manual intervention.</w:t>
      </w:r>
    </w:p>
    <w:p>
      <w:pPr>
        <w:spacing w:after="120" w:line="360"/>
      </w:pPr>
      <w:r>
        <w:rPr>
          <w:rFonts w:ascii="Arial" w:cs="Arial" w:eastAsia="Arial" w:hAnsi="Arial"/>
          <w:b/>
          <w:bCs/>
          <w:color w:val="1A1A2E"/>
          <w:sz w:val="24"/>
          <w:szCs w:val="24"/>
        </w:rPr>
        <w:t xml:space="preserve">Real-Time Settlement:</w:t>
      </w:r>
      <w:r>
        <w:rPr>
          <w:rFonts w:ascii="Georgia" w:cs="Georgia" w:eastAsia="Georgia" w:hAnsi="Georgia"/>
          <w:color w:val="333333"/>
          <w:sz w:val="24"/>
          <w:szCs w:val="24"/>
        </w:rPr>
        <w:t xml:space="preserve"> Payments settle in under one second on-chain, eliminating the multi-day ACH delays that burden provider cash flow.</w:t>
      </w:r>
    </w:p>
    <w:p>
      <w:pPr>
        <w:spacing w:after="120" w:line="360"/>
      </w:pPr>
      <w:r>
        <w:rPr>
          <w:rFonts w:ascii="Arial" w:cs="Arial" w:eastAsia="Arial" w:hAnsi="Arial"/>
          <w:b/>
          <w:bCs/>
          <w:color w:val="1A1A2E"/>
          <w:sz w:val="24"/>
          <w:szCs w:val="24"/>
        </w:rPr>
        <w:t xml:space="preserve">Immutable Audit Trail:</w:t>
      </w:r>
      <w:r>
        <w:rPr>
          <w:rFonts w:ascii="Georgia" w:cs="Georgia" w:eastAsia="Georgia" w:hAnsi="Georgia"/>
          <w:color w:val="333333"/>
          <w:sz w:val="24"/>
          <w:szCs w:val="24"/>
        </w:rPr>
        <w:t xml:space="preserve"> Every payment event is recorded on the Solana ledger — creating a shared, tamper-proof record accessible to all authorized parties.</w:t>
      </w:r>
    </w:p>
    <w:p>
      <w:r>
        <w:br w:type="page"/>
      </w:r>
    </w:p>
    <w:p>
      <w:pPr>
        <w:pStyle w:val="Heading1"/>
      </w:pPr>
      <w:r>
        <w:t xml:space="preserve">4. Protocol Architecture</w:t>
      </w:r>
    </w:p>
    <w:p>
      <w:pPr>
        <w:pStyle w:val="Heading2"/>
      </w:pPr>
      <w:r>
        <w:t xml:space="preserve">4.1 ZPH — The Protocol Token</w:t>
      </w:r>
    </w:p>
    <w:p>
      <w:pPr>
        <w:spacing w:after="160" w:line="360"/>
        <w:jc w:val="left"/>
      </w:pPr>
      <w:r>
        <w:rPr>
          <w:rFonts w:ascii="Georgia" w:cs="Georgia" w:eastAsia="Georgia" w:hAnsi="Georgia"/>
          <w:color w:val="333333"/>
          <w:sz w:val="24"/>
          <w:szCs w:val="24"/>
        </w:rPr>
        <w:t xml:space="preserve">ZPH is the native utility and governance token of the Zypher protocol. Deployed as a Solana SPL token, ZPH serves multiple functions within the network:</w:t>
      </w:r>
    </w:p>
    <w:p>
      <w:pPr>
        <w:spacing w:after="120"/>
      </w:pPr>
      <w:r>
        <w:t xml:space="preserve"/>
      </w:r>
    </w:p>
    <w:p>
      <w:pPr>
        <w:pStyle w:val="ListParagraph"/>
        <w:numPr>
          <w:ilvl w:val="0"/>
          <w:numId w:val="2"/>
        </w:numPr>
        <w:spacing w:after="100"/>
      </w:pPr>
      <w:r>
        <w:rPr>
          <w:rFonts w:ascii="Georgia" w:cs="Georgia" w:eastAsia="Georgia" w:hAnsi="Georgia"/>
          <w:color w:val="333333"/>
          <w:sz w:val="24"/>
          <w:szCs w:val="24"/>
        </w:rPr>
        <w:t xml:space="preserve">Network participation and access fees</w:t>
      </w:r>
    </w:p>
    <w:p>
      <w:pPr>
        <w:pStyle w:val="ListParagraph"/>
        <w:numPr>
          <w:ilvl w:val="0"/>
          <w:numId w:val="2"/>
        </w:numPr>
        <w:spacing w:after="100"/>
      </w:pPr>
      <w:r>
        <w:rPr>
          <w:rFonts w:ascii="Georgia" w:cs="Georgia" w:eastAsia="Georgia" w:hAnsi="Georgia"/>
          <w:color w:val="333333"/>
          <w:sz w:val="24"/>
          <w:szCs w:val="24"/>
        </w:rPr>
        <w:t xml:space="preserve">Governance voting on protocol parameter changes</w:t>
      </w:r>
    </w:p>
    <w:p>
      <w:pPr>
        <w:pStyle w:val="ListParagraph"/>
        <w:numPr>
          <w:ilvl w:val="0"/>
          <w:numId w:val="2"/>
        </w:numPr>
        <w:spacing w:after="100"/>
      </w:pPr>
      <w:r>
        <w:rPr>
          <w:rFonts w:ascii="Georgia" w:cs="Georgia" w:eastAsia="Georgia" w:hAnsi="Georgia"/>
          <w:color w:val="333333"/>
          <w:sz w:val="24"/>
          <w:szCs w:val="24"/>
        </w:rPr>
        <w:t xml:space="preserve">Staking for provider identity verification</w:t>
      </w:r>
    </w:p>
    <w:p>
      <w:pPr>
        <w:pStyle w:val="ListParagraph"/>
        <w:numPr>
          <w:ilvl w:val="0"/>
          <w:numId w:val="2"/>
        </w:numPr>
        <w:spacing w:after="100"/>
      </w:pPr>
      <w:r>
        <w:rPr>
          <w:rFonts w:ascii="Georgia" w:cs="Georgia" w:eastAsia="Georgia" w:hAnsi="Georgia"/>
          <w:color w:val="333333"/>
          <w:sz w:val="24"/>
          <w:szCs w:val="24"/>
        </w:rPr>
        <w:t xml:space="preserve">Incentive distribution for data quality contributions</w:t>
      </w:r>
    </w:p>
    <w:p>
      <w:pPr>
        <w:pStyle w:val="ListParagraph"/>
        <w:numPr>
          <w:ilvl w:val="0"/>
          <w:numId w:val="2"/>
        </w:numPr>
        <w:spacing w:after="100"/>
      </w:pPr>
      <w:r>
        <w:rPr>
          <w:rFonts w:ascii="Georgia" w:cs="Georgia" w:eastAsia="Georgia" w:hAnsi="Georgia"/>
          <w:color w:val="333333"/>
          <w:sz w:val="24"/>
          <w:szCs w:val="24"/>
        </w:rPr>
        <w:t xml:space="preserve">Liquidity provisioning in the Zypher ecosystem</w:t>
      </w:r>
    </w:p>
    <w:p>
      <w:pPr>
        <w:spacing w:after="120"/>
      </w:pPr>
      <w:r>
        <w:t xml:space="preserve"/>
      </w:r>
    </w:p>
    <w:p>
      <w:pPr>
        <w:spacing w:after="160" w:line="360"/>
        <w:jc w:val="left"/>
      </w:pPr>
      <w:r>
        <w:rPr>
          <w:rFonts w:ascii="Georgia" w:cs="Georgia" w:eastAsia="Georgia" w:hAnsi="Georgia"/>
          <w:color w:val="333333"/>
          <w:sz w:val="24"/>
          <w:szCs w:val="24"/>
        </w:rPr>
        <w:t xml:space="preserve">ZPH has been deployed with both Mint Authority and Freeze Authority permanently revoked, ensuring a fixed supply and eliminating centralized control over the token. This is a deliberate design choice that prioritizes decentralization and trust from day one.</w:t>
      </w:r>
    </w:p>
    <w:p>
      <w:pPr>
        <w:pStyle w:val="Heading2"/>
      </w:pPr>
      <w:r>
        <w:t xml:space="preserve">4.2 zCARE — The Healthcare Payment Token (Phase 2)</w:t>
      </w:r>
    </w:p>
    <w:p>
      <w:pPr>
        <w:spacing w:after="160" w:line="360"/>
        <w:jc w:val="left"/>
      </w:pPr>
      <w:r>
        <w:rPr>
          <w:rFonts w:ascii="Georgia" w:cs="Georgia" w:eastAsia="Georgia" w:hAnsi="Georgia"/>
          <w:color w:val="333333"/>
          <w:sz w:val="24"/>
          <w:szCs w:val="24"/>
        </w:rPr>
        <w:t xml:space="preserve">zCARE is designed as a stable payment instrument specifically for healthcare transactions. Unlike ZPH, which functions as the protocol's native asset with market-driven value, zCARE is engineered for stability — enabling payers and providers to transact in a predictable unit of account without exposure to cryptocurrency market volatility.</w:t>
      </w:r>
    </w:p>
    <w:p>
      <w:pPr>
        <w:spacing w:after="120"/>
      </w:pPr>
      <w:r>
        <w:t xml:space="preserve"/>
      </w:r>
    </w:p>
    <w:p>
      <w:pPr>
        <w:spacing w:after="160" w:line="360"/>
        <w:jc w:val="left"/>
      </w:pPr>
      <w:r>
        <w:rPr>
          <w:rFonts w:ascii="Georgia" w:cs="Georgia" w:eastAsia="Georgia" w:hAnsi="Georgia"/>
          <w:color w:val="333333"/>
          <w:sz w:val="24"/>
          <w:szCs w:val="24"/>
        </w:rPr>
        <w:t xml:space="preserve">The zCARE design incorporates several healthcare-specific features that distinguish it from general-purpose stablecoins:</w:t>
      </w:r>
    </w:p>
    <w:p>
      <w:pPr>
        <w:spacing w:after="120"/>
      </w:pPr>
      <w:r>
        <w:t xml:space="preserve"/>
      </w:r>
    </w:p>
    <w:p>
      <w:pPr>
        <w:pStyle w:val="ListParagraph"/>
        <w:numPr>
          <w:ilvl w:val="0"/>
          <w:numId w:val="2"/>
        </w:numPr>
        <w:spacing w:after="100"/>
      </w:pPr>
      <w:r>
        <w:rPr>
          <w:rFonts w:ascii="Georgia" w:cs="Georgia" w:eastAsia="Georgia" w:hAnsi="Georgia"/>
          <w:color w:val="333333"/>
          <w:sz w:val="24"/>
          <w:szCs w:val="24"/>
        </w:rPr>
        <w:t xml:space="preserve">Conditional payment release tied to CMS-verified claim adjudication events</w:t>
      </w:r>
    </w:p>
    <w:p>
      <w:pPr>
        <w:pStyle w:val="ListParagraph"/>
        <w:numPr>
          <w:ilvl w:val="0"/>
          <w:numId w:val="2"/>
        </w:numPr>
        <w:spacing w:after="100"/>
      </w:pPr>
      <w:r>
        <w:rPr>
          <w:rFonts w:ascii="Georgia" w:cs="Georgia" w:eastAsia="Georgia" w:hAnsi="Georgia"/>
          <w:color w:val="333333"/>
          <w:sz w:val="24"/>
          <w:szCs w:val="24"/>
        </w:rPr>
        <w:t xml:space="preserve">NPI-gated transfer restrictions ensuring funds route only to verified providers</w:t>
      </w:r>
    </w:p>
    <w:p>
      <w:pPr>
        <w:pStyle w:val="ListParagraph"/>
        <w:numPr>
          <w:ilvl w:val="0"/>
          <w:numId w:val="2"/>
        </w:numPr>
        <w:spacing w:after="100"/>
      </w:pPr>
      <w:r>
        <w:rPr>
          <w:rFonts w:ascii="Georgia" w:cs="Georgia" w:eastAsia="Georgia" w:hAnsi="Georgia"/>
          <w:color w:val="333333"/>
          <w:sz w:val="24"/>
          <w:szCs w:val="24"/>
        </w:rPr>
        <w:t xml:space="preserve">Programmable remittance data embedded in each transaction</w:t>
      </w:r>
    </w:p>
    <w:p>
      <w:pPr>
        <w:pStyle w:val="ListParagraph"/>
        <w:numPr>
          <w:ilvl w:val="0"/>
          <w:numId w:val="2"/>
        </w:numPr>
        <w:spacing w:after="100"/>
      </w:pPr>
      <w:r>
        <w:rPr>
          <w:rFonts w:ascii="Georgia" w:cs="Georgia" w:eastAsia="Georgia" w:hAnsi="Georgia"/>
          <w:color w:val="333333"/>
          <w:sz w:val="24"/>
          <w:szCs w:val="24"/>
        </w:rPr>
        <w:t xml:space="preserve">Compliance hooks for HIPAA-adjacent data handling requirements</w:t>
      </w:r>
    </w:p>
    <w:p>
      <w:pPr>
        <w:pStyle w:val="Heading2"/>
      </w:pPr>
      <w:r>
        <w:t xml:space="preserve">4.3 Provider Identity Layer</w:t>
      </w:r>
    </w:p>
    <w:p>
      <w:pPr>
        <w:spacing w:after="160" w:line="360"/>
        <w:jc w:val="left"/>
      </w:pPr>
      <w:r>
        <w:rPr>
          <w:rFonts w:ascii="Georgia" w:cs="Georgia" w:eastAsia="Georgia" w:hAnsi="Georgia"/>
          <w:color w:val="333333"/>
          <w:sz w:val="24"/>
          <w:szCs w:val="24"/>
        </w:rPr>
        <w:t xml:space="preserve">The provider identity layer is Zypher's most architecturally distinctive component. The protocol maintains an on-chain registry that maps Solana wallet addresses to verified National Provider Identifiers (NPIs). This mapping is established through a credentialing process that cross-references the NPPES database, CMS enrollment records, and HRSA data.</w:t>
      </w:r>
    </w:p>
    <w:p>
      <w:pPr>
        <w:spacing w:after="120"/>
      </w:pPr>
      <w:r>
        <w:t xml:space="preserve"/>
      </w:r>
    </w:p>
    <w:p>
      <w:pPr>
        <w:spacing w:after="160" w:line="360"/>
        <w:jc w:val="left"/>
      </w:pPr>
      <w:r>
        <w:rPr>
          <w:rFonts w:ascii="Georgia" w:cs="Georgia" w:eastAsia="Georgia" w:hAnsi="Georgia"/>
          <w:color w:val="333333"/>
          <w:sz w:val="24"/>
          <w:szCs w:val="24"/>
        </w:rPr>
        <w:t xml:space="preserve">This creates a system where payment routing decisions can be made programmatically with confidence in the identity of the receiving provider — eliminating the single largest source of claim denial and payment misdirection in the current system.</w:t>
      </w:r>
    </w:p>
    <w:p>
      <w:pPr>
        <w:pStyle w:val="Heading2"/>
      </w:pPr>
      <w:r>
        <w:t xml:space="preserve">4.4 Payment Flow</w:t>
      </w:r>
    </w:p>
    <w:p>
      <w:pPr>
        <w:spacing w:after="160" w:line="360"/>
        <w:jc w:val="left"/>
      </w:pPr>
      <w:r>
        <w:rPr>
          <w:rFonts w:ascii="Georgia" w:cs="Georgia" w:eastAsia="Georgia" w:hAnsi="Georgia"/>
          <w:color w:val="333333"/>
          <w:sz w:val="24"/>
          <w:szCs w:val="24"/>
        </w:rPr>
        <w:t xml:space="preserve">A standard payment flow through the Zypher protocol proceeds as follows:</w:t>
      </w:r>
    </w:p>
    <w:p>
      <w:pPr>
        <w:spacing w:after="120"/>
      </w:pPr>
      <w:r>
        <w:t xml:space="preserve"/>
      </w:r>
    </w:p>
    <w:p>
      <w:pPr>
        <w:pStyle w:val="ListParagraph"/>
        <w:numPr>
          <w:ilvl w:val="0"/>
          <w:numId w:val="2"/>
        </w:numPr>
        <w:spacing w:after="100"/>
      </w:pPr>
      <w:r>
        <w:rPr>
          <w:rFonts w:ascii="Georgia" w:cs="Georgia" w:eastAsia="Georgia" w:hAnsi="Georgia"/>
          <w:color w:val="333333"/>
          <w:sz w:val="24"/>
          <w:szCs w:val="24"/>
        </w:rPr>
        <w:t xml:space="preserve">Payer initiates payment with provider NPI and claim reference</w:t>
      </w:r>
    </w:p>
    <w:p>
      <w:pPr>
        <w:pStyle w:val="ListParagraph"/>
        <w:numPr>
          <w:ilvl w:val="0"/>
          <w:numId w:val="2"/>
        </w:numPr>
        <w:spacing w:after="100"/>
      </w:pPr>
      <w:r>
        <w:rPr>
          <w:rFonts w:ascii="Georgia" w:cs="Georgia" w:eastAsia="Georgia" w:hAnsi="Georgia"/>
          <w:color w:val="333333"/>
          <w:sz w:val="24"/>
          <w:szCs w:val="24"/>
        </w:rPr>
        <w:t xml:space="preserve">Protocol resolves NPI to verified on-chain wallet address</w:t>
      </w:r>
    </w:p>
    <w:p>
      <w:pPr>
        <w:pStyle w:val="ListParagraph"/>
        <w:numPr>
          <w:ilvl w:val="0"/>
          <w:numId w:val="2"/>
        </w:numPr>
        <w:spacing w:after="100"/>
      </w:pPr>
      <w:r>
        <w:rPr>
          <w:rFonts w:ascii="Georgia" w:cs="Georgia" w:eastAsia="Georgia" w:hAnsi="Georgia"/>
          <w:color w:val="333333"/>
          <w:sz w:val="24"/>
          <w:szCs w:val="24"/>
        </w:rPr>
        <w:t xml:space="preserve">Payment is held in programmable escrow pending claim validation</w:t>
      </w:r>
    </w:p>
    <w:p>
      <w:pPr>
        <w:pStyle w:val="ListParagraph"/>
        <w:numPr>
          <w:ilvl w:val="0"/>
          <w:numId w:val="2"/>
        </w:numPr>
        <w:spacing w:after="100"/>
      </w:pPr>
      <w:r>
        <w:rPr>
          <w:rFonts w:ascii="Georgia" w:cs="Georgia" w:eastAsia="Georgia" w:hAnsi="Georgia"/>
          <w:color w:val="333333"/>
          <w:sz w:val="24"/>
          <w:szCs w:val="24"/>
        </w:rPr>
        <w:t xml:space="preserve">Upon validation signal, payment releases to provider wallet in real time</w:t>
      </w:r>
    </w:p>
    <w:p>
      <w:pPr>
        <w:pStyle w:val="ListParagraph"/>
        <w:numPr>
          <w:ilvl w:val="0"/>
          <w:numId w:val="2"/>
        </w:numPr>
        <w:spacing w:after="100"/>
      </w:pPr>
      <w:r>
        <w:rPr>
          <w:rFonts w:ascii="Georgia" w:cs="Georgia" w:eastAsia="Georgia" w:hAnsi="Georgia"/>
          <w:color w:val="333333"/>
          <w:sz w:val="24"/>
          <w:szCs w:val="24"/>
        </w:rPr>
        <w:t xml:space="preserve">Transaction recorded immutably on Solana with full remittance data</w:t>
      </w:r>
    </w:p>
    <w:p>
      <w:pPr>
        <w:pStyle w:val="ListParagraph"/>
        <w:numPr>
          <w:ilvl w:val="0"/>
          <w:numId w:val="2"/>
        </w:numPr>
        <w:spacing w:after="100"/>
      </w:pPr>
      <w:r>
        <w:rPr>
          <w:rFonts w:ascii="Georgia" w:cs="Georgia" w:eastAsia="Georgia" w:hAnsi="Georgia"/>
          <w:color w:val="333333"/>
          <w:sz w:val="24"/>
          <w:szCs w:val="24"/>
        </w:rPr>
        <w:t xml:space="preserve">Both parties receive instant, cryptographically verifiable confirmation</w:t>
      </w:r>
    </w:p>
    <w:p>
      <w:r>
        <w:br w:type="page"/>
      </w:r>
    </w:p>
    <w:p>
      <w:pPr>
        <w:pStyle w:val="Heading1"/>
      </w:pPr>
      <w:r>
        <w:t xml:space="preserve">5. Token Economics</w:t>
      </w:r>
    </w:p>
    <w:p>
      <w:pPr>
        <w:pStyle w:val="Heading2"/>
      </w:pPr>
      <w:r>
        <w:t xml:space="preserve">5.1 Token Details</w:t>
      </w:r>
    </w:p>
    <w:p>
      <w:pPr>
        <w:spacing w:after="120"/>
      </w:pPr>
      <w:r>
        <w:t xml:space="preserve"/>
      </w:r>
    </w:p>
    <w:p>
      <w:pPr>
        <w:spacing w:after="120"/>
      </w:pPr>
      <w:r>
        <w:rPr>
          <w:rFonts w:ascii="Arial" w:cs="Arial" w:eastAsia="Arial" w:hAnsi="Arial"/>
          <w:b/>
          <w:bCs/>
          <w:color w:val="1A1A2E"/>
          <w:sz w:val="22"/>
          <w:szCs w:val="22"/>
        </w:rPr>
        <w:t xml:space="preserve">Token Name:  </w:t>
      </w:r>
      <w:r>
        <w:rPr>
          <w:rFonts w:ascii="Courier New" w:cs="Courier New" w:eastAsia="Courier New" w:hAnsi="Courier New"/>
          <w:color w:val="444444"/>
          <w:sz w:val="20"/>
          <w:szCs w:val="20"/>
        </w:rPr>
        <w:t xml:space="preserve">Zypher</w:t>
      </w:r>
    </w:p>
    <w:p>
      <w:pPr>
        <w:spacing w:after="120"/>
      </w:pPr>
      <w:r>
        <w:rPr>
          <w:rFonts w:ascii="Arial" w:cs="Arial" w:eastAsia="Arial" w:hAnsi="Arial"/>
          <w:b/>
          <w:bCs/>
          <w:color w:val="1A1A2E"/>
          <w:sz w:val="22"/>
          <w:szCs w:val="22"/>
        </w:rPr>
        <w:t xml:space="preserve">Ticker:  </w:t>
      </w:r>
      <w:r>
        <w:rPr>
          <w:rFonts w:ascii="Courier New" w:cs="Courier New" w:eastAsia="Courier New" w:hAnsi="Courier New"/>
          <w:color w:val="444444"/>
          <w:sz w:val="20"/>
          <w:szCs w:val="20"/>
        </w:rPr>
        <w:t xml:space="preserve">ZPH</w:t>
      </w:r>
    </w:p>
    <w:p>
      <w:pPr>
        <w:spacing w:after="120"/>
      </w:pPr>
      <w:r>
        <w:rPr>
          <w:rFonts w:ascii="Arial" w:cs="Arial" w:eastAsia="Arial" w:hAnsi="Arial"/>
          <w:b/>
          <w:bCs/>
          <w:color w:val="1A1A2E"/>
          <w:sz w:val="22"/>
          <w:szCs w:val="22"/>
        </w:rPr>
        <w:t xml:space="preserve">Network:  </w:t>
      </w:r>
      <w:r>
        <w:rPr>
          <w:rFonts w:ascii="Courier New" w:cs="Courier New" w:eastAsia="Courier New" w:hAnsi="Courier New"/>
          <w:color w:val="444444"/>
          <w:sz w:val="20"/>
          <w:szCs w:val="20"/>
        </w:rPr>
        <w:t xml:space="preserve">Solana</w:t>
      </w:r>
    </w:p>
    <w:p>
      <w:pPr>
        <w:spacing w:after="120"/>
      </w:pPr>
      <w:r>
        <w:rPr>
          <w:rFonts w:ascii="Arial" w:cs="Arial" w:eastAsia="Arial" w:hAnsi="Arial"/>
          <w:b/>
          <w:bCs/>
          <w:color w:val="1A1A2E"/>
          <w:sz w:val="22"/>
          <w:szCs w:val="22"/>
        </w:rPr>
        <w:t xml:space="preserve">Token Standard:  </w:t>
      </w:r>
      <w:r>
        <w:rPr>
          <w:rFonts w:ascii="Courier New" w:cs="Courier New" w:eastAsia="Courier New" w:hAnsi="Courier New"/>
          <w:color w:val="444444"/>
          <w:sz w:val="20"/>
          <w:szCs w:val="20"/>
        </w:rPr>
        <w:t xml:space="preserve">SPL Token</w:t>
      </w:r>
    </w:p>
    <w:p>
      <w:pPr>
        <w:spacing w:after="120"/>
      </w:pPr>
      <w:r>
        <w:rPr>
          <w:rFonts w:ascii="Arial" w:cs="Arial" w:eastAsia="Arial" w:hAnsi="Arial"/>
          <w:b/>
          <w:bCs/>
          <w:color w:val="1A1A2E"/>
          <w:sz w:val="22"/>
          <w:szCs w:val="22"/>
        </w:rPr>
        <w:t xml:space="preserve">Mint Address:  </w:t>
      </w:r>
      <w:r>
        <w:rPr>
          <w:rFonts w:ascii="Courier New" w:cs="Courier New" w:eastAsia="Courier New" w:hAnsi="Courier New"/>
          <w:color w:val="444444"/>
          <w:sz w:val="20"/>
          <w:szCs w:val="20"/>
        </w:rPr>
        <w:t xml:space="preserve">8sG1MjujqWKNZKkkGQQdekuMTLJvFdP3hoohyEiUr82t</w:t>
      </w:r>
    </w:p>
    <w:p>
      <w:pPr>
        <w:spacing w:after="120"/>
      </w:pPr>
      <w:r>
        <w:rPr>
          <w:rFonts w:ascii="Arial" w:cs="Arial" w:eastAsia="Arial" w:hAnsi="Arial"/>
          <w:b/>
          <w:bCs/>
          <w:color w:val="1A1A2E"/>
          <w:sz w:val="22"/>
          <w:szCs w:val="22"/>
        </w:rPr>
        <w:t xml:space="preserve">Mint Authority:  </w:t>
      </w:r>
      <w:r>
        <w:rPr>
          <w:rFonts w:ascii="Courier New" w:cs="Courier New" w:eastAsia="Courier New" w:hAnsi="Courier New"/>
          <w:color w:val="444444"/>
          <w:sz w:val="20"/>
          <w:szCs w:val="20"/>
        </w:rPr>
        <w:t xml:space="preserve">Revoked</w:t>
      </w:r>
    </w:p>
    <w:p>
      <w:pPr>
        <w:spacing w:after="120"/>
      </w:pPr>
      <w:r>
        <w:rPr>
          <w:rFonts w:ascii="Arial" w:cs="Arial" w:eastAsia="Arial" w:hAnsi="Arial"/>
          <w:b/>
          <w:bCs/>
          <w:color w:val="1A1A2E"/>
          <w:sz w:val="22"/>
          <w:szCs w:val="22"/>
        </w:rPr>
        <w:t xml:space="preserve">Freeze Authority:  </w:t>
      </w:r>
      <w:r>
        <w:rPr>
          <w:rFonts w:ascii="Courier New" w:cs="Courier New" w:eastAsia="Courier New" w:hAnsi="Courier New"/>
          <w:color w:val="444444"/>
          <w:sz w:val="20"/>
          <w:szCs w:val="20"/>
        </w:rPr>
        <w:t xml:space="preserve">Revoked</w:t>
      </w:r>
    </w:p>
    <w:p>
      <w:pPr>
        <w:spacing w:after="120"/>
      </w:pPr>
      <w:r>
        <w:rPr>
          <w:rFonts w:ascii="Arial" w:cs="Arial" w:eastAsia="Arial" w:hAnsi="Arial"/>
          <w:b/>
          <w:bCs/>
          <w:color w:val="1A1A2E"/>
          <w:sz w:val="22"/>
          <w:szCs w:val="22"/>
        </w:rPr>
        <w:t xml:space="preserve">Raydium Pool:  </w:t>
      </w:r>
      <w:r>
        <w:rPr>
          <w:rFonts w:ascii="Courier New" w:cs="Courier New" w:eastAsia="Courier New" w:hAnsi="Courier New"/>
          <w:color w:val="444444"/>
          <w:sz w:val="20"/>
          <w:szCs w:val="20"/>
        </w:rPr>
        <w:t xml:space="preserve">FKsYM7mBRR3oFPnJZYNYzSu9MjJLC4kYxatzYtPq8Aba</w:t>
      </w:r>
    </w:p>
    <w:p>
      <w:pPr>
        <w:spacing w:after="120"/>
      </w:pPr>
      <w:r>
        <w:t xml:space="preserve"/>
      </w:r>
    </w:p>
    <w:p>
      <w:pPr>
        <w:pStyle w:val="Heading2"/>
      </w:pPr>
      <w:r>
        <w:t xml:space="preserve">5.2 Design Principles</w:t>
      </w:r>
    </w:p>
    <w:p>
      <w:pPr>
        <w:spacing w:after="160" w:line="360"/>
        <w:jc w:val="left"/>
      </w:pPr>
      <w:r>
        <w:rPr>
          <w:rFonts w:ascii="Georgia" w:cs="Georgia" w:eastAsia="Georgia" w:hAnsi="Georgia"/>
          <w:color w:val="333333"/>
          <w:sz w:val="24"/>
          <w:szCs w:val="24"/>
        </w:rPr>
        <w:t xml:space="preserve">The ZPH token was designed with long-term protocol integrity as the primary objective. Key economic design decisions include:</w:t>
      </w:r>
    </w:p>
    <w:p>
      <w:pPr>
        <w:spacing w:after="120"/>
      </w:pPr>
      <w:r>
        <w:t xml:space="preserve"/>
      </w:r>
    </w:p>
    <w:p>
      <w:pPr>
        <w:spacing w:after="120" w:line="360"/>
      </w:pPr>
      <w:r>
        <w:rPr>
          <w:rFonts w:ascii="Arial" w:cs="Arial" w:eastAsia="Arial" w:hAnsi="Arial"/>
          <w:b/>
          <w:bCs/>
          <w:color w:val="1A1A2E"/>
          <w:sz w:val="24"/>
          <w:szCs w:val="24"/>
        </w:rPr>
        <w:t xml:space="preserve">Fixed Supply:</w:t>
      </w:r>
      <w:r>
        <w:rPr>
          <w:rFonts w:ascii="Georgia" w:cs="Georgia" w:eastAsia="Georgia" w:hAnsi="Georgia"/>
          <w:color w:val="333333"/>
          <w:sz w:val="24"/>
          <w:szCs w:val="24"/>
        </w:rPr>
        <w:t xml:space="preserve"> With Mint Authority permanently revoked, no additional ZPH can ever be created. This eliminates the inflationary risk that undermines many utility tokens.</w:t>
      </w:r>
    </w:p>
    <w:p>
      <w:pPr>
        <w:spacing w:after="120" w:line="360"/>
      </w:pPr>
      <w:r>
        <w:rPr>
          <w:rFonts w:ascii="Arial" w:cs="Arial" w:eastAsia="Arial" w:hAnsi="Arial"/>
          <w:b/>
          <w:bCs/>
          <w:color w:val="1A1A2E"/>
          <w:sz w:val="24"/>
          <w:szCs w:val="24"/>
        </w:rPr>
        <w:t xml:space="preserve">No Freeze Capability:</w:t>
      </w:r>
      <w:r>
        <w:rPr>
          <w:rFonts w:ascii="Georgia" w:cs="Georgia" w:eastAsia="Georgia" w:hAnsi="Georgia"/>
          <w:color w:val="333333"/>
          <w:sz w:val="24"/>
          <w:szCs w:val="24"/>
        </w:rPr>
        <w:t xml:space="preserve"> With Freeze Authority revoked, no party — including the founding team — can freeze token holdings. This provides holders with unconditional ownership rights.</w:t>
      </w:r>
    </w:p>
    <w:p>
      <w:pPr>
        <w:spacing w:after="120" w:line="360"/>
      </w:pPr>
      <w:r>
        <w:rPr>
          <w:rFonts w:ascii="Arial" w:cs="Arial" w:eastAsia="Arial" w:hAnsi="Arial"/>
          <w:b/>
          <w:bCs/>
          <w:color w:val="1A1A2E"/>
          <w:sz w:val="24"/>
          <w:szCs w:val="24"/>
        </w:rPr>
        <w:t xml:space="preserve">Decentralized Liquidity:</w:t>
      </w:r>
      <w:r>
        <w:rPr>
          <w:rFonts w:ascii="Georgia" w:cs="Georgia" w:eastAsia="Georgia" w:hAnsi="Georgia"/>
          <w:color w:val="333333"/>
          <w:sz w:val="24"/>
          <w:szCs w:val="24"/>
        </w:rPr>
        <w:t xml:space="preserve"> ZPH liquidity is provided through Raydium's automated market maker, ensuring continuous price discovery without dependence on centralized exchange relationships.</w:t>
      </w:r>
    </w:p>
    <w:p>
      <w:pPr>
        <w:pStyle w:val="Heading2"/>
      </w:pPr>
      <w:r>
        <w:t xml:space="preserve">5.3 Value Accrual</w:t>
      </w:r>
    </w:p>
    <w:p>
      <w:pPr>
        <w:spacing w:after="160" w:line="360"/>
        <w:jc w:val="left"/>
      </w:pPr>
      <w:r>
        <w:rPr>
          <w:rFonts w:ascii="Georgia" w:cs="Georgia" w:eastAsia="Georgia" w:hAnsi="Georgia"/>
          <w:color w:val="333333"/>
          <w:sz w:val="24"/>
          <w:szCs w:val="24"/>
        </w:rPr>
        <w:t xml:space="preserve">As the Zypher protocol grows and zCARE payment volume increases, demand for ZPH is expected to grow through several mechanisms:</w:t>
      </w:r>
    </w:p>
    <w:p>
      <w:pPr>
        <w:spacing w:after="120"/>
      </w:pPr>
      <w:r>
        <w:t xml:space="preserve"/>
      </w:r>
    </w:p>
    <w:p>
      <w:pPr>
        <w:pStyle w:val="ListParagraph"/>
        <w:numPr>
          <w:ilvl w:val="0"/>
          <w:numId w:val="2"/>
        </w:numPr>
        <w:spacing w:after="100"/>
      </w:pPr>
      <w:r>
        <w:rPr>
          <w:rFonts w:ascii="Georgia" w:cs="Georgia" w:eastAsia="Georgia" w:hAnsi="Georgia"/>
          <w:color w:val="333333"/>
          <w:sz w:val="24"/>
          <w:szCs w:val="24"/>
        </w:rPr>
        <w:t xml:space="preserve">Protocol fees denominated in ZPH</w:t>
      </w:r>
    </w:p>
    <w:p>
      <w:pPr>
        <w:pStyle w:val="ListParagraph"/>
        <w:numPr>
          <w:ilvl w:val="0"/>
          <w:numId w:val="2"/>
        </w:numPr>
        <w:spacing w:after="100"/>
      </w:pPr>
      <w:r>
        <w:rPr>
          <w:rFonts w:ascii="Georgia" w:cs="Georgia" w:eastAsia="Georgia" w:hAnsi="Georgia"/>
          <w:color w:val="333333"/>
          <w:sz w:val="24"/>
          <w:szCs w:val="24"/>
        </w:rPr>
        <w:t xml:space="preserve">Staking requirements for provider identity verification</w:t>
      </w:r>
    </w:p>
    <w:p>
      <w:pPr>
        <w:pStyle w:val="ListParagraph"/>
        <w:numPr>
          <w:ilvl w:val="0"/>
          <w:numId w:val="2"/>
        </w:numPr>
        <w:spacing w:after="100"/>
      </w:pPr>
      <w:r>
        <w:rPr>
          <w:rFonts w:ascii="Georgia" w:cs="Georgia" w:eastAsia="Georgia" w:hAnsi="Georgia"/>
          <w:color w:val="333333"/>
          <w:sz w:val="24"/>
          <w:szCs w:val="24"/>
        </w:rPr>
        <w:t xml:space="preserve">Governance participation incentives</w:t>
      </w:r>
    </w:p>
    <w:p>
      <w:pPr>
        <w:pStyle w:val="ListParagraph"/>
        <w:numPr>
          <w:ilvl w:val="0"/>
          <w:numId w:val="2"/>
        </w:numPr>
        <w:spacing w:after="100"/>
      </w:pPr>
      <w:r>
        <w:rPr>
          <w:rFonts w:ascii="Georgia" w:cs="Georgia" w:eastAsia="Georgia" w:hAnsi="Georgia"/>
          <w:color w:val="333333"/>
          <w:sz w:val="24"/>
          <w:szCs w:val="24"/>
        </w:rPr>
        <w:t xml:space="preserve">Ecosystem grants and developer incentives funded from protocol reserves</w:t>
      </w:r>
    </w:p>
    <w:p>
      <w:r>
        <w:br w:type="page"/>
      </w:r>
    </w:p>
    <w:p>
      <w:pPr>
        <w:pStyle w:val="Heading1"/>
      </w:pPr>
      <w:r>
        <w:t xml:space="preserve">6. Federal Data Integration</w:t>
      </w:r>
    </w:p>
    <w:p>
      <w:pPr>
        <w:pStyle w:val="Heading2"/>
      </w:pPr>
      <w:r>
        <w:t xml:space="preserve">6.1 NPPES — National Plan and Provider Enumeration System</w:t>
      </w:r>
    </w:p>
    <w:p>
      <w:pPr>
        <w:spacing w:after="160" w:line="360"/>
        <w:jc w:val="left"/>
      </w:pPr>
      <w:r>
        <w:rPr>
          <w:rFonts w:ascii="Georgia" w:cs="Georgia" w:eastAsia="Georgia" w:hAnsi="Georgia"/>
          <w:color w:val="333333"/>
          <w:sz w:val="24"/>
          <w:szCs w:val="24"/>
        </w:rPr>
        <w:t xml:space="preserve">NPPES is the federal registry of all healthcare providers in the United States, maintained by the Centers for Medicare &amp; Medicaid Services. Every provider who bills federal healthcare programs is assigned a unique National Provider Identifier (NPI) through NPPES.</w:t>
      </w:r>
    </w:p>
    <w:p>
      <w:pPr>
        <w:spacing w:after="120"/>
      </w:pPr>
      <w:r>
        <w:t xml:space="preserve"/>
      </w:r>
    </w:p>
    <w:p>
      <w:pPr>
        <w:spacing w:after="160" w:line="360"/>
        <w:jc w:val="left"/>
      </w:pPr>
      <w:r>
        <w:rPr>
          <w:rFonts w:ascii="Georgia" w:cs="Georgia" w:eastAsia="Georgia" w:hAnsi="Georgia"/>
          <w:color w:val="333333"/>
          <w:sz w:val="24"/>
          <w:szCs w:val="24"/>
        </w:rPr>
        <w:t xml:space="preserve">Zypher uses NPPES as the authoritative source for provider identity. The protocol's on-chain registry is designed to be continuously synchronized with NPPES data, ensuring that wallet address-to-NPI mappings reflect current provider status. This solves the stale directory problem at the architectural level: the on-chain registry is only as old as the last NPPES sync, not the last time a payer's internal team updated their database.</w:t>
      </w:r>
    </w:p>
    <w:p>
      <w:pPr>
        <w:pStyle w:val="Heading2"/>
      </w:pPr>
      <w:r>
        <w:t xml:space="preserve">6.2 CMS — Centers for Medicare &amp; Medicaid Services</w:t>
      </w:r>
    </w:p>
    <w:p>
      <w:pPr>
        <w:spacing w:after="160" w:line="360"/>
        <w:jc w:val="left"/>
      </w:pPr>
      <w:r>
        <w:rPr>
          <w:rFonts w:ascii="Georgia" w:cs="Georgia" w:eastAsia="Georgia" w:hAnsi="Georgia"/>
          <w:color w:val="333333"/>
          <w:sz w:val="24"/>
          <w:szCs w:val="24"/>
        </w:rPr>
        <w:t xml:space="preserve">CMS manages the largest healthcare payment programs in the United States: Medicare, Medicaid, and the Children's Health Insurance Program (CHIP). CMS data is used in the Zypher protocol for two primary purposes:</w:t>
      </w:r>
    </w:p>
    <w:p>
      <w:pPr>
        <w:spacing w:after="120"/>
      </w:pPr>
      <w:r>
        <w:t xml:space="preserve"/>
      </w:r>
    </w:p>
    <w:p>
      <w:pPr>
        <w:pStyle w:val="ListParagraph"/>
        <w:numPr>
          <w:ilvl w:val="0"/>
          <w:numId w:val="2"/>
        </w:numPr>
        <w:spacing w:after="100"/>
      </w:pPr>
      <w:r>
        <w:rPr>
          <w:rFonts w:ascii="Georgia" w:cs="Georgia" w:eastAsia="Georgia" w:hAnsi="Georgia"/>
          <w:color w:val="333333"/>
          <w:sz w:val="24"/>
          <w:szCs w:val="24"/>
        </w:rPr>
        <w:t xml:space="preserve">Provider enrollment verification — confirming that NPIs are actively enrolled in federal programs</w:t>
      </w:r>
    </w:p>
    <w:p>
      <w:pPr>
        <w:pStyle w:val="ListParagraph"/>
        <w:numPr>
          <w:ilvl w:val="0"/>
          <w:numId w:val="2"/>
        </w:numPr>
        <w:spacing w:after="100"/>
      </w:pPr>
      <w:r>
        <w:rPr>
          <w:rFonts w:ascii="Georgia" w:cs="Georgia" w:eastAsia="Georgia" w:hAnsi="Georgia"/>
          <w:color w:val="333333"/>
          <w:sz w:val="24"/>
          <w:szCs w:val="24"/>
        </w:rPr>
        <w:t xml:space="preserve">Claim adjudication signals — providing on-chain triggers for conditional payment release in the zCARE payment layer</w:t>
      </w:r>
    </w:p>
    <w:p>
      <w:pPr>
        <w:pStyle w:val="Heading2"/>
      </w:pPr>
      <w:r>
        <w:t xml:space="preserve">6.3 HRSA — Health Resources and Services Administration</w:t>
      </w:r>
    </w:p>
    <w:p>
      <w:pPr>
        <w:spacing w:after="160" w:line="360"/>
        <w:jc w:val="left"/>
      </w:pPr>
      <w:r>
        <w:rPr>
          <w:rFonts w:ascii="Georgia" w:cs="Georgia" w:eastAsia="Georgia" w:hAnsi="Georgia"/>
          <w:color w:val="333333"/>
          <w:sz w:val="24"/>
          <w:szCs w:val="24"/>
        </w:rPr>
        <w:t xml:space="preserve">HRSA data provides additional provider context, particularly for Federally Qualified Health Centers (FQHCs), rural health clinics, and underserved area designations. This data is relevant for routing logic that may involve differential payment rates or program-specific payment flows.</w:t>
      </w:r>
    </w:p>
    <w:p>
      <w:pPr>
        <w:pStyle w:val="Heading2"/>
      </w:pPr>
      <w:r>
        <w:t xml:space="preserve">6.4 Data Sovereignty and Privacy</w:t>
      </w:r>
    </w:p>
    <w:p>
      <w:pPr>
        <w:spacing w:after="160" w:line="360"/>
        <w:jc w:val="left"/>
      </w:pPr>
      <w:r>
        <w:rPr>
          <w:rFonts w:ascii="Georgia" w:cs="Georgia" w:eastAsia="Georgia" w:hAnsi="Georgia"/>
          <w:color w:val="333333"/>
          <w:sz w:val="24"/>
          <w:szCs w:val="24"/>
        </w:rPr>
        <w:t xml:space="preserve">A critical design constraint for any healthcare payment protocol is compliance with the Health Insurance Portability and Accountability Act (HIPAA) and related privacy regulations. Zypher's architecture is designed to keep Protected Health Information (PHI) off-chain. The on-chain layer stores only provider identity mappings, payment amounts, and transaction metadata — never patient data or clinical information.</w:t>
      </w:r>
    </w:p>
    <w:p>
      <w:pPr>
        <w:spacing w:after="120"/>
      </w:pPr>
      <w:r>
        <w:t xml:space="preserve"/>
      </w:r>
    </w:p>
    <w:p>
      <w:pPr>
        <w:spacing w:after="160" w:line="360"/>
        <w:jc w:val="left"/>
      </w:pPr>
      <w:r>
        <w:rPr>
          <w:rFonts w:ascii="Georgia" w:cs="Georgia" w:eastAsia="Georgia" w:hAnsi="Georgia"/>
          <w:color w:val="333333"/>
          <w:sz w:val="24"/>
          <w:szCs w:val="24"/>
        </w:rPr>
        <w:t xml:space="preserve">This architecture maintains the auditability and transparency benefits of blockchain settlement while respecting the privacy requirements that govern healthcare data.</w:t>
      </w:r>
    </w:p>
    <w:p>
      <w:r>
        <w:br w:type="page"/>
      </w:r>
    </w:p>
    <w:p>
      <w:pPr>
        <w:pStyle w:val="Heading1"/>
      </w:pPr>
      <w:r>
        <w:t xml:space="preserve">7. Roadmap</w:t>
      </w:r>
    </w:p>
    <w:p>
      <w:pPr>
        <w:pStyle w:val="Heading2"/>
      </w:pPr>
      <w:r>
        <w:t xml:space="preserve">Phase 1 — Protocol Foundation (Current)</w:t>
      </w:r>
    </w:p>
    <w:p>
      <w:pPr>
        <w:pStyle w:val="ListParagraph"/>
        <w:numPr>
          <w:ilvl w:val="0"/>
          <w:numId w:val="2"/>
        </w:numPr>
        <w:spacing w:after="100"/>
      </w:pPr>
      <w:r>
        <w:rPr>
          <w:rFonts w:ascii="Georgia" w:cs="Georgia" w:eastAsia="Georgia" w:hAnsi="Georgia"/>
          <w:color w:val="333333"/>
          <w:sz w:val="24"/>
          <w:szCs w:val="24"/>
        </w:rPr>
        <w:t xml:space="preserve">ZPH token deployment on Solana with revoked authorities</w:t>
      </w:r>
    </w:p>
    <w:p>
      <w:pPr>
        <w:pStyle w:val="ListParagraph"/>
        <w:numPr>
          <w:ilvl w:val="0"/>
          <w:numId w:val="2"/>
        </w:numPr>
        <w:spacing w:after="100"/>
      </w:pPr>
      <w:r>
        <w:rPr>
          <w:rFonts w:ascii="Georgia" w:cs="Georgia" w:eastAsia="Georgia" w:hAnsi="Georgia"/>
          <w:color w:val="333333"/>
          <w:sz w:val="24"/>
          <w:szCs w:val="24"/>
        </w:rPr>
        <w:t xml:space="preserve">Raydium liquidity pool establishment</w:t>
      </w:r>
    </w:p>
    <w:p>
      <w:pPr>
        <w:pStyle w:val="ListParagraph"/>
        <w:numPr>
          <w:ilvl w:val="0"/>
          <w:numId w:val="2"/>
        </w:numPr>
        <w:spacing w:after="100"/>
      </w:pPr>
      <w:r>
        <w:rPr>
          <w:rFonts w:ascii="Georgia" w:cs="Georgia" w:eastAsia="Georgia" w:hAnsi="Georgia"/>
          <w:color w:val="333333"/>
          <w:sz w:val="24"/>
          <w:szCs w:val="24"/>
        </w:rPr>
        <w:t xml:space="preserve">Jupiter DEX integration and token verification</w:t>
      </w:r>
    </w:p>
    <w:p>
      <w:pPr>
        <w:pStyle w:val="ListParagraph"/>
        <w:numPr>
          <w:ilvl w:val="0"/>
          <w:numId w:val="2"/>
        </w:numPr>
        <w:spacing w:after="100"/>
      </w:pPr>
      <w:r>
        <w:rPr>
          <w:rFonts w:ascii="Georgia" w:cs="Georgia" w:eastAsia="Georgia" w:hAnsi="Georgia"/>
          <w:color w:val="333333"/>
          <w:sz w:val="24"/>
          <w:szCs w:val="24"/>
        </w:rPr>
        <w:t xml:space="preserve">Community building via Twitter and Telegram</w:t>
      </w:r>
    </w:p>
    <w:p>
      <w:pPr>
        <w:pStyle w:val="ListParagraph"/>
        <w:numPr>
          <w:ilvl w:val="0"/>
          <w:numId w:val="2"/>
        </w:numPr>
        <w:spacing w:after="100"/>
      </w:pPr>
      <w:r>
        <w:rPr>
          <w:rFonts w:ascii="Georgia" w:cs="Georgia" w:eastAsia="Georgia" w:hAnsi="Georgia"/>
          <w:color w:val="333333"/>
          <w:sz w:val="24"/>
          <w:szCs w:val="24"/>
        </w:rPr>
        <w:t xml:space="preserve">Exchange listing on major crypto data aggregators</w:t>
      </w:r>
    </w:p>
    <w:p>
      <w:pPr>
        <w:pStyle w:val="ListParagraph"/>
        <w:numPr>
          <w:ilvl w:val="0"/>
          <w:numId w:val="2"/>
        </w:numPr>
        <w:spacing w:after="100"/>
      </w:pPr>
      <w:r>
        <w:rPr>
          <w:rFonts w:ascii="Georgia" w:cs="Georgia" w:eastAsia="Georgia" w:hAnsi="Georgia"/>
          <w:color w:val="333333"/>
          <w:sz w:val="24"/>
          <w:szCs w:val="24"/>
        </w:rPr>
        <w:t xml:space="preserve">Provider identity architecture design</w:t>
      </w:r>
    </w:p>
    <w:p>
      <w:pPr>
        <w:spacing w:after="120"/>
      </w:pPr>
      <w:r>
        <w:t xml:space="preserve"/>
      </w:r>
    </w:p>
    <w:p>
      <w:pPr>
        <w:pStyle w:val="Heading2"/>
      </w:pPr>
      <w:r>
        <w:t xml:space="preserve">Phase 2 — zCARE and Data Integration</w:t>
      </w:r>
    </w:p>
    <w:p>
      <w:pPr>
        <w:pStyle w:val="ListParagraph"/>
        <w:numPr>
          <w:ilvl w:val="0"/>
          <w:numId w:val="2"/>
        </w:numPr>
        <w:spacing w:after="100"/>
      </w:pPr>
      <w:r>
        <w:rPr>
          <w:rFonts w:ascii="Georgia" w:cs="Georgia" w:eastAsia="Georgia" w:hAnsi="Georgia"/>
          <w:color w:val="333333"/>
          <w:sz w:val="24"/>
          <w:szCs w:val="24"/>
        </w:rPr>
        <w:t xml:space="preserve">zCARE stable payment token design and deployment</w:t>
      </w:r>
    </w:p>
    <w:p>
      <w:pPr>
        <w:pStyle w:val="ListParagraph"/>
        <w:numPr>
          <w:ilvl w:val="0"/>
          <w:numId w:val="2"/>
        </w:numPr>
        <w:spacing w:after="100"/>
      </w:pPr>
      <w:r>
        <w:rPr>
          <w:rFonts w:ascii="Georgia" w:cs="Georgia" w:eastAsia="Georgia" w:hAnsi="Georgia"/>
          <w:color w:val="333333"/>
          <w:sz w:val="24"/>
          <w:szCs w:val="24"/>
        </w:rPr>
        <w:t xml:space="preserve">NPPES data pipeline integration and on-chain registry launch</w:t>
      </w:r>
    </w:p>
    <w:p>
      <w:pPr>
        <w:pStyle w:val="ListParagraph"/>
        <w:numPr>
          <w:ilvl w:val="0"/>
          <w:numId w:val="2"/>
        </w:numPr>
        <w:spacing w:after="100"/>
      </w:pPr>
      <w:r>
        <w:rPr>
          <w:rFonts w:ascii="Georgia" w:cs="Georgia" w:eastAsia="Georgia" w:hAnsi="Georgia"/>
          <w:color w:val="333333"/>
          <w:sz w:val="24"/>
          <w:szCs w:val="24"/>
        </w:rPr>
        <w:t xml:space="preserve">CMS enrollment verification API connection</w:t>
      </w:r>
    </w:p>
    <w:p>
      <w:pPr>
        <w:pStyle w:val="ListParagraph"/>
        <w:numPr>
          <w:ilvl w:val="0"/>
          <w:numId w:val="2"/>
        </w:numPr>
        <w:spacing w:after="100"/>
      </w:pPr>
      <w:r>
        <w:rPr>
          <w:rFonts w:ascii="Georgia" w:cs="Georgia" w:eastAsia="Georgia" w:hAnsi="Georgia"/>
          <w:color w:val="333333"/>
          <w:sz w:val="24"/>
          <w:szCs w:val="24"/>
        </w:rPr>
        <w:t xml:space="preserve">Programmable billing primitive development</w:t>
      </w:r>
    </w:p>
    <w:p>
      <w:pPr>
        <w:pStyle w:val="ListParagraph"/>
        <w:numPr>
          <w:ilvl w:val="0"/>
          <w:numId w:val="2"/>
        </w:numPr>
        <w:spacing w:after="100"/>
      </w:pPr>
      <w:r>
        <w:rPr>
          <w:rFonts w:ascii="Georgia" w:cs="Georgia" w:eastAsia="Georgia" w:hAnsi="Georgia"/>
          <w:color w:val="333333"/>
          <w:sz w:val="24"/>
          <w:szCs w:val="24"/>
        </w:rPr>
        <w:t xml:space="preserve">Initial payer-provider payment routing pilots</w:t>
      </w:r>
    </w:p>
    <w:p>
      <w:pPr>
        <w:pStyle w:val="ListParagraph"/>
        <w:numPr>
          <w:ilvl w:val="0"/>
          <w:numId w:val="2"/>
        </w:numPr>
        <w:spacing w:after="100"/>
      </w:pPr>
      <w:r>
        <w:rPr>
          <w:rFonts w:ascii="Georgia" w:cs="Georgia" w:eastAsia="Georgia" w:hAnsi="Georgia"/>
          <w:color w:val="333333"/>
          <w:sz w:val="24"/>
          <w:szCs w:val="24"/>
        </w:rPr>
        <w:t xml:space="preserve">HRSA data integration for specialty routing</w:t>
      </w:r>
    </w:p>
    <w:p>
      <w:pPr>
        <w:spacing w:after="120"/>
      </w:pPr>
      <w:r>
        <w:t xml:space="preserve"/>
      </w:r>
    </w:p>
    <w:p>
      <w:pPr>
        <w:pStyle w:val="Heading2"/>
      </w:pPr>
      <w:r>
        <w:t xml:space="preserve">Phase 3 — Network Expansion</w:t>
      </w:r>
    </w:p>
    <w:p>
      <w:pPr>
        <w:pStyle w:val="ListParagraph"/>
        <w:numPr>
          <w:ilvl w:val="0"/>
          <w:numId w:val="2"/>
        </w:numPr>
        <w:spacing w:after="100"/>
      </w:pPr>
      <w:r>
        <w:rPr>
          <w:rFonts w:ascii="Georgia" w:cs="Georgia" w:eastAsia="Georgia" w:hAnsi="Georgia"/>
          <w:color w:val="333333"/>
          <w:sz w:val="24"/>
          <w:szCs w:val="24"/>
        </w:rPr>
        <w:t xml:space="preserve">Institutional payer partnership program</w:t>
      </w:r>
    </w:p>
    <w:p>
      <w:pPr>
        <w:pStyle w:val="ListParagraph"/>
        <w:numPr>
          <w:ilvl w:val="0"/>
          <w:numId w:val="2"/>
        </w:numPr>
        <w:spacing w:after="100"/>
      </w:pPr>
      <w:r>
        <w:rPr>
          <w:rFonts w:ascii="Georgia" w:cs="Georgia" w:eastAsia="Georgia" w:hAnsi="Georgia"/>
          <w:color w:val="333333"/>
          <w:sz w:val="24"/>
          <w:szCs w:val="24"/>
        </w:rPr>
        <w:t xml:space="preserve">Regulatory compliance framework and legal structure</w:t>
      </w:r>
    </w:p>
    <w:p>
      <w:pPr>
        <w:pStyle w:val="ListParagraph"/>
        <w:numPr>
          <w:ilvl w:val="0"/>
          <w:numId w:val="2"/>
        </w:numPr>
        <w:spacing w:after="100"/>
      </w:pPr>
      <w:r>
        <w:rPr>
          <w:rFonts w:ascii="Georgia" w:cs="Georgia" w:eastAsia="Georgia" w:hAnsi="Georgia"/>
          <w:color w:val="333333"/>
          <w:sz w:val="24"/>
          <w:szCs w:val="24"/>
        </w:rPr>
        <w:t xml:space="preserve">Full claims processing integration</w:t>
      </w:r>
    </w:p>
    <w:p>
      <w:pPr>
        <w:pStyle w:val="ListParagraph"/>
        <w:numPr>
          <w:ilvl w:val="0"/>
          <w:numId w:val="2"/>
        </w:numPr>
        <w:spacing w:after="100"/>
      </w:pPr>
      <w:r>
        <w:rPr>
          <w:rFonts w:ascii="Georgia" w:cs="Georgia" w:eastAsia="Georgia" w:hAnsi="Georgia"/>
          <w:color w:val="333333"/>
          <w:sz w:val="24"/>
          <w:szCs w:val="24"/>
        </w:rPr>
        <w:t xml:space="preserve">Multi-chain bridge development for interoperability</w:t>
      </w:r>
    </w:p>
    <w:p>
      <w:pPr>
        <w:pStyle w:val="ListParagraph"/>
        <w:numPr>
          <w:ilvl w:val="0"/>
          <w:numId w:val="2"/>
        </w:numPr>
        <w:spacing w:after="100"/>
      </w:pPr>
      <w:r>
        <w:rPr>
          <w:rFonts w:ascii="Georgia" w:cs="Georgia" w:eastAsia="Georgia" w:hAnsi="Georgia"/>
          <w:color w:val="333333"/>
          <w:sz w:val="24"/>
          <w:szCs w:val="24"/>
        </w:rPr>
        <w:t xml:space="preserve">Developer SDK and API for third-party integrations</w:t>
      </w:r>
    </w:p>
    <w:p>
      <w:pPr>
        <w:pStyle w:val="ListParagraph"/>
        <w:numPr>
          <w:ilvl w:val="0"/>
          <w:numId w:val="2"/>
        </w:numPr>
        <w:spacing w:after="100"/>
      </w:pPr>
      <w:r>
        <w:rPr>
          <w:rFonts w:ascii="Georgia" w:cs="Georgia" w:eastAsia="Georgia" w:hAnsi="Georgia"/>
          <w:color w:val="333333"/>
          <w:sz w:val="24"/>
          <w:szCs w:val="24"/>
        </w:rPr>
        <w:t xml:space="preserve">Governance decentralization to ZPH holders</w:t>
      </w:r>
    </w:p>
    <w:p>
      <w:r>
        <w:br w:type="page"/>
      </w:r>
    </w:p>
    <w:p>
      <w:pPr>
        <w:pStyle w:val="Heading1"/>
      </w:pPr>
      <w:r>
        <w:t xml:space="preserve">8. Risk Factors</w:t>
      </w:r>
    </w:p>
    <w:p>
      <w:pPr>
        <w:spacing w:after="160" w:line="360"/>
        <w:jc w:val="left"/>
      </w:pPr>
      <w:r>
        <w:rPr>
          <w:rFonts w:ascii="Georgia" w:cs="Georgia" w:eastAsia="Georgia" w:hAnsi="Georgia"/>
          <w:color w:val="333333"/>
          <w:sz w:val="24"/>
          <w:szCs w:val="24"/>
        </w:rPr>
        <w:t xml:space="preserve">Prospective participants in the Zypher protocol should carefully consider the following risk factors:</w:t>
      </w:r>
    </w:p>
    <w:p>
      <w:pPr>
        <w:spacing w:after="120"/>
      </w:pPr>
      <w:r>
        <w:t xml:space="preserve"/>
      </w:r>
    </w:p>
    <w:p>
      <w:pPr>
        <w:spacing w:after="120" w:line="360"/>
      </w:pPr>
      <w:r>
        <w:rPr>
          <w:rFonts w:ascii="Arial" w:cs="Arial" w:eastAsia="Arial" w:hAnsi="Arial"/>
          <w:b/>
          <w:bCs/>
          <w:color w:val="1A1A2E"/>
          <w:sz w:val="24"/>
          <w:szCs w:val="24"/>
        </w:rPr>
        <w:t xml:space="preserve">Regulatory Risk:</w:t>
      </w:r>
      <w:r>
        <w:rPr>
          <w:rFonts w:ascii="Georgia" w:cs="Georgia" w:eastAsia="Georgia" w:hAnsi="Georgia"/>
          <w:color w:val="333333"/>
          <w:sz w:val="24"/>
          <w:szCs w:val="24"/>
        </w:rPr>
        <w:t xml:space="preserve"> The regulatory treatment of cryptocurrency tokens in the healthcare payments context is uncertain and evolving. Changes in SEC, CFTC, or HHS regulations could materially affect the protocol's design and operations.</w:t>
      </w:r>
    </w:p>
    <w:p>
      <w:pPr>
        <w:spacing w:after="120"/>
      </w:pPr>
      <w:r>
        <w:t xml:space="preserve"/>
      </w:r>
    </w:p>
    <w:p>
      <w:pPr>
        <w:spacing w:after="120" w:line="360"/>
      </w:pPr>
      <w:r>
        <w:rPr>
          <w:rFonts w:ascii="Arial" w:cs="Arial" w:eastAsia="Arial" w:hAnsi="Arial"/>
          <w:b/>
          <w:bCs/>
          <w:color w:val="1A1A2E"/>
          <w:sz w:val="24"/>
          <w:szCs w:val="24"/>
        </w:rPr>
        <w:t xml:space="preserve">Technology Risk:</w:t>
      </w:r>
      <w:r>
        <w:rPr>
          <w:rFonts w:ascii="Georgia" w:cs="Georgia" w:eastAsia="Georgia" w:hAnsi="Georgia"/>
          <w:color w:val="333333"/>
          <w:sz w:val="24"/>
          <w:szCs w:val="24"/>
        </w:rPr>
        <w:t xml:space="preserve"> The protocol depends on the continued operation and development of the Solana blockchain. Network outages, protocol changes, or security vulnerabilities in Solana could affect Zypher's functionality.</w:t>
      </w:r>
    </w:p>
    <w:p>
      <w:pPr>
        <w:spacing w:after="120"/>
      </w:pPr>
      <w:r>
        <w:t xml:space="preserve"/>
      </w:r>
    </w:p>
    <w:p>
      <w:pPr>
        <w:spacing w:after="120" w:line="360"/>
      </w:pPr>
      <w:r>
        <w:rPr>
          <w:rFonts w:ascii="Arial" w:cs="Arial" w:eastAsia="Arial" w:hAnsi="Arial"/>
          <w:b/>
          <w:bCs/>
          <w:color w:val="1A1A2E"/>
          <w:sz w:val="24"/>
          <w:szCs w:val="24"/>
        </w:rPr>
        <w:t xml:space="preserve">Adoption Risk:</w:t>
      </w:r>
      <w:r>
        <w:rPr>
          <w:rFonts w:ascii="Georgia" w:cs="Georgia" w:eastAsia="Georgia" w:hAnsi="Georgia"/>
          <w:color w:val="333333"/>
          <w:sz w:val="24"/>
          <w:szCs w:val="24"/>
        </w:rPr>
        <w:t xml:space="preserve"> The success of the Zypher protocol depends on adoption by healthcare payers and providers. Healthcare institutions are subject to complex procurement processes and change management constraints that may slow adoption.</w:t>
      </w:r>
    </w:p>
    <w:p>
      <w:pPr>
        <w:spacing w:after="120"/>
      </w:pPr>
      <w:r>
        <w:t xml:space="preserve"/>
      </w:r>
    </w:p>
    <w:p>
      <w:pPr>
        <w:spacing w:after="120" w:line="360"/>
      </w:pPr>
      <w:r>
        <w:rPr>
          <w:rFonts w:ascii="Arial" w:cs="Arial" w:eastAsia="Arial" w:hAnsi="Arial"/>
          <w:b/>
          <w:bCs/>
          <w:color w:val="1A1A2E"/>
          <w:sz w:val="24"/>
          <w:szCs w:val="24"/>
        </w:rPr>
        <w:t xml:space="preserve">Liquidity Risk:</w:t>
      </w:r>
      <w:r>
        <w:rPr>
          <w:rFonts w:ascii="Georgia" w:cs="Georgia" w:eastAsia="Georgia" w:hAnsi="Georgia"/>
          <w:color w:val="333333"/>
          <w:sz w:val="24"/>
          <w:szCs w:val="24"/>
        </w:rPr>
        <w:t xml:space="preserve"> ZPH is a newly launched token with limited trading history. Liquidity in the ZPH/SOL pool may be insufficient to support large transactions without significant price impact.</w:t>
      </w:r>
    </w:p>
    <w:p>
      <w:pPr>
        <w:spacing w:after="120"/>
      </w:pPr>
      <w:r>
        <w:t xml:space="preserve"/>
      </w:r>
    </w:p>
    <w:p>
      <w:pPr>
        <w:spacing w:after="120" w:line="360"/>
      </w:pPr>
      <w:r>
        <w:rPr>
          <w:rFonts w:ascii="Arial" w:cs="Arial" w:eastAsia="Arial" w:hAnsi="Arial"/>
          <w:b/>
          <w:bCs/>
          <w:color w:val="1A1A2E"/>
          <w:sz w:val="24"/>
          <w:szCs w:val="24"/>
        </w:rPr>
        <w:t xml:space="preserve">Data Integration Risk:</w:t>
      </w:r>
      <w:r>
        <w:rPr>
          <w:rFonts w:ascii="Georgia" w:cs="Georgia" w:eastAsia="Georgia" w:hAnsi="Georgia"/>
          <w:color w:val="333333"/>
          <w:sz w:val="24"/>
          <w:szCs w:val="24"/>
        </w:rPr>
        <w:t xml:space="preserve"> The protocol's value proposition depends on accurate and timely synchronization with federal data sources. API changes, data access restrictions, or federal system outages could affect the quality of on-chain provider identity data.</w:t>
      </w:r>
    </w:p>
    <w:p>
      <w:pPr>
        <w:spacing w:after="120"/>
      </w:pPr>
      <w:r>
        <w:t xml:space="preserve"/>
      </w:r>
    </w:p>
    <w:p>
      <w:pPr>
        <w:spacing w:after="120" w:line="360"/>
      </w:pPr>
      <w:r>
        <w:rPr>
          <w:rFonts w:ascii="Arial" w:cs="Arial" w:eastAsia="Arial" w:hAnsi="Arial"/>
          <w:b/>
          <w:bCs/>
          <w:color w:val="1A1A2E"/>
          <w:sz w:val="24"/>
          <w:szCs w:val="24"/>
        </w:rPr>
        <w:t xml:space="preserve">Competition Risk:</w:t>
      </w:r>
      <w:r>
        <w:rPr>
          <w:rFonts w:ascii="Georgia" w:cs="Georgia" w:eastAsia="Georgia" w:hAnsi="Georgia"/>
          <w:color w:val="333333"/>
          <w:sz w:val="24"/>
          <w:szCs w:val="24"/>
        </w:rPr>
        <w:t xml:space="preserve"> Several established healthcare IT companies and emerging blockchain projects are developing solutions for healthcare payment infrastructure. Zypher may face significant competition for payer and provider relationships.</w:t>
      </w:r>
    </w:p>
    <w:p>
      <w:r>
        <w:br w:type="page"/>
      </w:r>
    </w:p>
    <w:p>
      <w:pPr>
        <w:pStyle w:val="Heading1"/>
      </w:pPr>
      <w:r>
        <w:t xml:space="preserve">9. Disclaimer</w:t>
      </w:r>
    </w:p>
    <w:p>
      <w:pPr>
        <w:spacing w:after="160" w:line="360"/>
        <w:jc w:val="left"/>
      </w:pPr>
      <w:r>
        <w:rPr>
          <w:rFonts w:ascii="Georgia" w:cs="Georgia" w:eastAsia="Georgia" w:hAnsi="Georgia"/>
          <w:color w:val="333333"/>
          <w:sz w:val="24"/>
          <w:szCs w:val="24"/>
        </w:rPr>
        <w:t xml:space="preserve">This whitepaper is provided for informational purposes only and does not constitute financial advice, investment advice, trading advice, or any other form of advice. Nothing in this document should be construed as a solicitation or offer to buy or sell any security or other financial instrument.</w:t>
      </w:r>
    </w:p>
    <w:p>
      <w:pPr>
        <w:spacing w:after="120"/>
      </w:pPr>
      <w:r>
        <w:t xml:space="preserve"/>
      </w:r>
    </w:p>
    <w:p>
      <w:pPr>
        <w:spacing w:after="160" w:line="360"/>
        <w:jc w:val="left"/>
      </w:pPr>
      <w:r>
        <w:rPr>
          <w:rFonts w:ascii="Georgia" w:cs="Georgia" w:eastAsia="Georgia" w:hAnsi="Georgia"/>
          <w:color w:val="333333"/>
          <w:sz w:val="24"/>
          <w:szCs w:val="24"/>
        </w:rPr>
        <w:t xml:space="preserve">ZPH is a utility token intended to power the Zypher protocol. It is not designed or intended to constitute a security. Purchasers of ZPH should not expect profits from the efforts of others and should only acquire ZPH for its intended utility purposes within the Zypher protocol.</w:t>
      </w:r>
    </w:p>
    <w:p>
      <w:pPr>
        <w:spacing w:after="120"/>
      </w:pPr>
      <w:r>
        <w:t xml:space="preserve"/>
      </w:r>
    </w:p>
    <w:p>
      <w:pPr>
        <w:spacing w:after="160" w:line="360"/>
        <w:jc w:val="left"/>
      </w:pPr>
      <w:r>
        <w:rPr>
          <w:rFonts w:ascii="Georgia" w:cs="Georgia" w:eastAsia="Georgia" w:hAnsi="Georgia"/>
          <w:color w:val="333333"/>
          <w:sz w:val="24"/>
          <w:szCs w:val="24"/>
        </w:rPr>
        <w:t xml:space="preserve">Cryptocurrency involves substantial risk of loss. The value of ZPH may fluctuate significantly and investors may lose all or part of their investment. Past performance is not indicative of future results.</w:t>
      </w:r>
    </w:p>
    <w:p>
      <w:pPr>
        <w:spacing w:after="120"/>
      </w:pPr>
      <w:r>
        <w:t xml:space="preserve"/>
      </w:r>
    </w:p>
    <w:p>
      <w:pPr>
        <w:spacing w:after="160" w:line="360"/>
        <w:jc w:val="left"/>
      </w:pPr>
      <w:r>
        <w:rPr>
          <w:rFonts w:ascii="Georgia" w:cs="Georgia" w:eastAsia="Georgia" w:hAnsi="Georgia"/>
          <w:color w:val="333333"/>
          <w:sz w:val="24"/>
          <w:szCs w:val="24"/>
        </w:rPr>
        <w:t xml:space="preserve">This document may contain forward-looking statements regarding the Zypher protocol, its development, and its intended functionality. These statements are based on current expectations and are subject to risks and uncertainties that could cause actual results to differ materially.</w:t>
      </w:r>
    </w:p>
    <w:p>
      <w:pPr>
        <w:spacing w:after="120"/>
      </w:pPr>
      <w:r>
        <w:t xml:space="preserve"/>
      </w:r>
    </w:p>
    <w:p>
      <w:pPr>
        <w:spacing w:after="160" w:line="360"/>
        <w:jc w:val="left"/>
      </w:pPr>
      <w:r>
        <w:rPr>
          <w:rFonts w:ascii="Georgia" w:cs="Georgia" w:eastAsia="Georgia" w:hAnsi="Georgia"/>
          <w:color w:val="333333"/>
          <w:sz w:val="24"/>
          <w:szCs w:val="24"/>
        </w:rPr>
        <w:t xml:space="preserve">This whitepaper is subject to change and updating as the protocol develops. The most current version will be available at the official Zypher website.</w:t>
      </w:r>
    </w:p>
    <w:p>
      <w:pPr>
        <w:spacing w:after="120"/>
      </w:pPr>
      <w:r>
        <w:t xml:space="preserve"/>
      </w:r>
    </w:p>
    <w:p>
      <w:pPr>
        <w:spacing w:after="120"/>
      </w:pPr>
      <w:r>
        <w:t xml:space="preserve"/>
      </w:r>
    </w:p>
    <w:p>
      <w:pPr>
        <w:pBdr>
          <w:bottom w:val="single" w:color="DDDDDD" w:sz="2" w:space="1"/>
        </w:pBdr>
        <w:spacing w:after="240"/>
      </w:pPr>
      <w:r>
        <w:t xml:space="preserve"/>
      </w:r>
    </w:p>
    <w:p>
      <w:pPr>
        <w:jc w:val="center"/>
      </w:pPr>
      <w:r>
        <w:rPr>
          <w:rFonts w:ascii="Courier New" w:cs="Courier New" w:eastAsia="Courier New" w:hAnsi="Courier New"/>
          <w:color w:val="555555"/>
          <w:sz w:val="18"/>
          <w:szCs w:val="18"/>
        </w:rPr>
        <w:t xml:space="preserve">zypherthecoin.github.io/Zypher  |  @ZypherZPH  |  Mint: 8sG1MjujqWKNZKkkGQQdekuMTLJvFdP3hoohyEiUr82t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spacing w:before="0"/>
    </w:pPr>
    <w:r>
      <w:rPr>
        <w:rFonts w:ascii="Arial" w:cs="Arial" w:eastAsia="Arial" w:hAnsi="Arial"/>
        <w:color w:val="555555"/>
        <w:sz w:val="18"/>
        <w:szCs w:val="18"/>
      </w:rPr>
      <w:t xml:space="preserve">zypherthecoin.github.io/Zypher  |  @ZypherZPH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6"/>
      </w:pBdr>
      <w:spacing w:after="0"/>
    </w:pPr>
    <w:r>
      <w:rPr>
        <w:rFonts w:ascii="Arial" w:cs="Arial" w:eastAsia="Arial" w:hAnsi="Arial"/>
        <w:color w:val="555555"/>
        <w:sz w:val="18"/>
        <w:szCs w:val="18"/>
      </w:rPr>
      <w:t xml:space="preserve">ZYPHER (ZPH) —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A7A5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7A5E" w:sz="4" w:space="6"/>
      </w:pBd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7A5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2026-04-22T19:52:17.155Z</dcterms:created>
  <dcterms:modified xsi:type="dcterms:W3CDTF">2026-04-22T19:52:17.156Z</dcterms:modified>
</cp:coreProperties>
</file>

<file path=docProps/custom.xml><?xml version="1.0" encoding="utf-8"?>
<Properties xmlns="http://schemas.openxmlformats.org/officeDocument/2006/custom-properties" xmlns:vt="http://schemas.openxmlformats.org/officeDocument/2006/docPropsVTypes"/>
</file>