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基于多工况力-位移曲线的 Miura 折纸结构概率逆向设计与 SWOMPS 真实仿真验证</w:t>
      </w:r>
    </w:p>
    <w:p>
      <w:pPr>
        <w:jc w:val="center"/>
      </w:pPr>
      <w:r>
        <w:rPr>
          <w:i/>
        </w:rPr>
        <w:t>小论文初稿 | 作者、单位与基金信息待补充</w:t>
      </w:r>
    </w:p>
    <w:p>
      <w:pPr>
        <w:pStyle w:val="Heading1"/>
      </w:pPr>
      <w:r>
        <w:t>摘要</w:t>
      </w:r>
    </w:p>
    <w:p>
      <w:pPr>
        <w:spacing w:line="276" w:lineRule="auto"/>
        <w:ind w:firstLine="420"/>
      </w:pPr>
      <w:r>
        <w:rPr>
          <w:rFonts w:ascii="宋体" w:hAnsi="宋体" w:eastAsia="宋体"/>
          <w:sz w:val="21"/>
        </w:rPr>
        <w:t>面向机器人末端柔顺夹持器在接触抓取过程中的载荷-位移响应定制需求，本文构建了一个面向 Miura 折纸结构的多工况力-位移曲线数据集，并建立“原始设计参数到六工况非线性响应曲线”的正向预测模型以及“目标响应曲线到设计参数”的条件扩散逆向模型。数据集以 SWOMPS 非线性静力加载为仿真核心，输入包括结构离散参数、几何参数与材料参数，输出为弯曲/轴向两类加载在三个部署状态下的 80 点力-位移响应。在质量过滤后的随机划分数据集上，正向 GNN-Transformer 模型取得位移 std-NRMSE 3.86%、力 std-NRMSE 4.33%。后向 diffusion 在前向代理闭环中取得位移 std-NRMSE 4.44%、力 std-NRMSE 5.15%。进一步从生成参数中选取闭环误差最低的 10 个候选设计，重新回到 SWOMPS 进行真实非线性仿真验证，平均位移 std-NRMSE 为 1.00%，平均力 std-NRMSE 为 3.33%，所有样本均收敛且未出现负力或负位移。结果表明，多工况力-位移响应曲线能够为柔顺夹持单元的接触反力和行程响应定制提供更完整的物理约束，概率生成模型可以在一对多设计空间中产生具有物理可行性的候选结构。</w:t>
      </w:r>
    </w:p>
    <w:p>
      <w:pPr>
        <w:spacing w:line="276" w:lineRule="auto"/>
        <w:ind w:firstLine="420"/>
      </w:pPr>
      <w:r>
        <w:rPr>
          <w:rFonts w:ascii="宋体" w:hAnsi="宋体" w:eastAsia="宋体"/>
          <w:sz w:val="21"/>
        </w:rPr>
        <w:t>关键词：Miura 折纸；力-位移曲线；逆向设计；扩散模型；GNN-Transformer；SWOMPS；机械超材料</w:t>
      </w:r>
    </w:p>
    <w:p>
      <w:pPr>
        <w:pStyle w:val="Heading1"/>
      </w:pPr>
      <w:r>
        <w:t>1 引言</w:t>
      </w:r>
    </w:p>
    <w:p>
      <w:pPr>
        <w:spacing w:line="276" w:lineRule="auto"/>
        <w:ind w:firstLine="420"/>
      </w:pPr>
      <w:r>
        <w:rPr>
          <w:rFonts w:ascii="宋体" w:hAnsi="宋体" w:eastAsia="宋体"/>
          <w:sz w:val="21"/>
        </w:rPr>
        <w:t>机器人末端执行器在抓取易损物体、顺应接触和柔性夹持时，常需要在给定接触位移或夹持行程下产生合适的反力：反力过小会导致滑移，反力过大则可能造成被抓物损伤。因此，这类柔顺夹持单元的关键设计目标不是单一材料本构参数，而是结构在不同加载方向和初始构型下的载荷-位移关系。折纸启发的机械超材料能够通过折痕拓扑、面板厚度、折痕刚度和材料参数调控结构的压缩、弯曲、轴向刚度与非线性变形响应，因而适合作为可设计的柔顺支撑与夹持单元。在逆向设计任务中，传统数据集常将若干刚度标量作为目标响应，但这种低维物理量只能描述曲线局部斜率，难以表达非线性变形、构型演化、应变能分配以及多工况耦合关系。因此，仅由刚度到参数的映射容易出现严重的一对多不适定性，模型可能在训练集内表现尚可，却缺乏足够物理信息支撑稳定的生成设计。</w:t>
      </w:r>
    </w:p>
    <w:p>
      <w:pPr>
        <w:spacing w:line="276" w:lineRule="auto"/>
        <w:ind w:firstLine="420"/>
      </w:pPr>
      <w:r>
        <w:rPr>
          <w:rFonts w:ascii="宋体" w:hAnsi="宋体" w:eastAsia="宋体"/>
          <w:sz w:val="21"/>
        </w:rPr>
        <w:t>围绕柔顺夹持器的接触反力-行程设计需求，本文工作的出发点是将逆向设计目标从“参数-刚度标量”升级为“参数-多工况载荷-位移响应曲线”。具体而言，本文基于 Miura-only 数据生成管线，采用大载荷 SWOMPS 非线性响应仿真，为每个样本构造六条 80 点力-位移曲线。该目标既保留了实际工程中的载荷-变形意义，又比单点刚度包含更多形状、幅值和非线性信息。</w:t>
      </w:r>
    </w:p>
    <w:p>
      <w:pPr>
        <w:pStyle w:val="Heading1"/>
      </w:pPr>
      <w:r>
        <w:t>2 数据集与仿真方法</w:t>
      </w:r>
    </w:p>
    <w:p>
      <w:pPr>
        <w:pStyle w:val="Heading2"/>
      </w:pPr>
      <w:r>
        <w:t>2.1 参数空间与响应目标</w:t>
      </w:r>
    </w:p>
    <w:p>
      <w:pPr>
        <w:spacing w:line="276" w:lineRule="auto"/>
        <w:ind w:firstLine="420"/>
      </w:pPr>
      <w:r>
        <w:rPr>
          <w:rFonts w:ascii="宋体" w:hAnsi="宋体" w:eastAsia="宋体"/>
          <w:sz w:val="21"/>
        </w:rPr>
        <w:t>输入变量为 8 维 Miura 折纸结构参数：pattern、m、n、tcrease、tpanel、W、creaseE 和 panelE。其中 pattern 固定为 Miura 模式，m 与 n 表示离散结构尺寸，tcrease、tpanel 和 W 描述折痕/面板几何尺度，creaseE 与 panelE 描述折痕和面板材料模量。输出为 6 个加载工况下的力-位移响应曲线，即弯曲加载和轴向加载分别在初始部署状态 0.3、0.6 和 0.9 下的响应。</w:t>
      </w:r>
    </w:p>
    <w:p>
      <w:pPr>
        <w:spacing w:line="276" w:lineRule="auto"/>
        <w:ind w:firstLine="420"/>
      </w:pPr>
      <w:r>
        <w:rPr>
          <w:rFonts w:ascii="宋体" w:hAnsi="宋体" w:eastAsia="宋体"/>
          <w:sz w:val="21"/>
        </w:rPr>
        <w:t>这些变量与折纸结构的对应关系如下。pattern 是结构模式标识，本数据集中固定为 1，表示只研究 Miura-ori 构型；保留该列是为了与原始数据集格式一致，并为后续混合 Miura/TMP 等多构型实验预留接口。m 和 n 不是材料参数，而是 Miura 单元离散尺寸参数。在 MATLAB 几何生成脚本中，纸张基准长度 L 固定为 0.2 m，折痕夹角 gamma 固定为 70 deg，并通过 b=L/m 和 a=(L-b*cot(gamma))/n 计算 Miura 单元边长。因此，m 或 n 增大时，单元划分更密、局部面板尺度更小，结构整体的变形路径和等效刚度都会随之改变。</w:t>
      </w:r>
    </w:p>
    <w:p>
      <w:pPr>
        <w:spacing w:line="276" w:lineRule="auto"/>
        <w:ind w:firstLine="420"/>
      </w:pPr>
      <w:r>
        <w:rPr>
          <w:rFonts w:ascii="宋体" w:hAnsi="宋体" w:eastAsia="宋体"/>
          <w:sz w:val="21"/>
        </w:rPr>
        <w:t>tcrease、tpanel 和 W 是几何-材料耦合参数。tcrease 表示折痕等效厚度，主要影响折痕转动柔顺性；tpanel 表示面板厚度，主要影响面板拉伸和弯曲抗力；W 表示折痕宽度，同时进入折痕铰链和面板弹簧刚度计算。在 SWOMPS 的等效杆-铰链模型中，折痕转动刚度近似随 creaseE*tcrease^3/W 增大，面板弯曲相关刚度近似随 panelE*tpanel^3/W 增大。因此这些参数不是孤立影响某一条曲线，而是共同决定六个加载工况下的整体力-位移响应幅值、曲线斜率和非线性变化程度。</w:t>
      </w:r>
    </w:p>
    <w:p>
      <w:pPr>
        <w:spacing w:line="276" w:lineRule="auto"/>
        <w:ind w:firstLine="420"/>
      </w:pPr>
      <w:r>
        <w:rPr>
          <w:rFonts w:ascii="宋体" w:hAnsi="宋体" w:eastAsia="宋体"/>
          <w:sz w:val="21"/>
        </w:rPr>
        <w:t>这里的部署状态 0.3、0.6 和 0.9 指 Miura 折纸在加载开始前的初始展开程度，也就是 MATLAB 几何生成函数 GenerateMiuraSheet 中的 Ext 参数，并不是载荷比例、压缩比例或应变比例。在几何生成过程中，Ext 会进入 h=b*sin(gamma)*Ext 和 theta=asin(Ext*sin(gamma)) 等关系式，从而改变节点的三维初始坐标。因此，deployment=0.3 表示较折叠、起伏更明显且投影长度较短的初始构型；deployment=0.6 表示中等展开状态；deployment=0.9 表示更接近铺展、投影长度更大且起伏较小的初始构型。同一组结构与材料参数在这三种初始构型下会表现出不同的弯曲和轴向响应，所以每个样本需要分别计算 3 个部署状态乘以 2 种加载方式，共 6 条力-位移曲线。</w:t>
      </w:r>
    </w:p>
    <w:p>
      <w:pPr>
        <w:spacing w:line="276" w:lineRule="auto"/>
        <w:ind w:firstLine="420"/>
      </w:pPr>
      <w:r>
        <w:rPr>
          <w:rFonts w:ascii="宋体" w:hAnsi="宋体" w:eastAsia="宋体"/>
          <w:sz w:val="21"/>
        </w:rPr>
        <w:t>这里的“加载工况”指一次具体的仿真条件组合，例如“弯曲加载 + deployment=0.3”就是一个工况。本文对每个 Miura 样本设置两类加载方式：弯曲加载表示在右侧边界节点施加 -Z 方向力并记录 z 方向位移响应，轴向加载表示在右侧边界节点施加 +X 方向力并记录 x 方向位移响应。所谓“力-位移响应曲线”则是指在 80 个递增加载步中，逐步记录外力大小和对应结构位移，形成描述结构非线性力学行为的一条曲线。因此，机器学习模型的输出目标不是单个刚度标量，而是每个样本对应的 6 条离散力-位移曲线；这些曲线共同刻画结构在不同初始展开程度和不同加载方向下的响应。</w:t>
      </w:r>
    </w:p>
    <w:p>
      <w:pPr>
        <w:jc w:val="center"/>
      </w:pPr>
      <w:r>
        <w:rPr>
          <w:rFonts w:ascii="宋体" w:hAnsi="宋体" w:eastAsia="宋体"/>
          <w:i/>
          <w:sz w:val="18"/>
        </w:rPr>
        <w:t>表 1 输入参数与折纸结构/物理意义对应关系</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宋体" w:hAnsi="宋体" w:eastAsia="宋体"/>
                <w:sz w:val="18"/>
              </w:rPr>
            </w:r>
            <w:r>
              <w:rPr>
                <w:rFonts w:ascii="宋体" w:hAnsi="宋体" w:eastAsia="宋体"/>
                <w:b/>
                <w:sz w:val="18"/>
              </w:rPr>
              <w:t>输入变量</w:t>
            </w:r>
          </w:p>
        </w:tc>
        <w:tc>
          <w:tcPr>
            <w:tcW w:type="dxa" w:w="2448"/>
          </w:tcPr>
          <w:p>
            <w:r>
              <w:rPr>
                <w:rFonts w:ascii="宋体" w:hAnsi="宋体" w:eastAsia="宋体"/>
                <w:sz w:val="18"/>
              </w:rPr>
            </w:r>
            <w:r>
              <w:rPr>
                <w:rFonts w:ascii="宋体" w:hAnsi="宋体" w:eastAsia="宋体"/>
                <w:b/>
                <w:sz w:val="18"/>
              </w:rPr>
              <w:t>本文取值/范围</w:t>
            </w:r>
          </w:p>
        </w:tc>
        <w:tc>
          <w:tcPr>
            <w:tcW w:type="dxa" w:w="2448"/>
          </w:tcPr>
          <w:p>
            <w:r>
              <w:rPr>
                <w:rFonts w:ascii="宋体" w:hAnsi="宋体" w:eastAsia="宋体"/>
                <w:sz w:val="18"/>
              </w:rPr>
            </w:r>
            <w:r>
              <w:rPr>
                <w:rFonts w:ascii="宋体" w:hAnsi="宋体" w:eastAsia="宋体"/>
                <w:b/>
                <w:sz w:val="18"/>
              </w:rPr>
              <w:t>对应结构位置或物理含义</w:t>
            </w:r>
          </w:p>
        </w:tc>
        <w:tc>
          <w:tcPr>
            <w:tcW w:type="dxa" w:w="2448"/>
          </w:tcPr>
          <w:p>
            <w:r>
              <w:rPr>
                <w:rFonts w:ascii="宋体" w:hAnsi="宋体" w:eastAsia="宋体"/>
                <w:sz w:val="18"/>
              </w:rPr>
            </w:r>
            <w:r>
              <w:rPr>
                <w:rFonts w:ascii="宋体" w:hAnsi="宋体" w:eastAsia="宋体"/>
                <w:b/>
                <w:sz w:val="18"/>
              </w:rPr>
              <w:t>对响应曲线的主要影响</w:t>
            </w:r>
          </w:p>
        </w:tc>
      </w:tr>
      <w:tr>
        <w:tc>
          <w:tcPr>
            <w:tcW w:type="dxa" w:w="2448"/>
          </w:tcPr>
          <w:p>
            <w:r>
              <w:rPr>
                <w:rFonts w:ascii="宋体" w:hAnsi="宋体" w:eastAsia="宋体"/>
                <w:sz w:val="18"/>
              </w:rPr>
            </w:r>
            <w:r>
              <w:rPr>
                <w:rFonts w:ascii="宋体" w:hAnsi="宋体" w:eastAsia="宋体"/>
                <w:b w:val="0"/>
                <w:sz w:val="18"/>
              </w:rPr>
              <w:t>pattern</w:t>
            </w:r>
          </w:p>
        </w:tc>
        <w:tc>
          <w:tcPr>
            <w:tcW w:type="dxa" w:w="2448"/>
          </w:tcPr>
          <w:p>
            <w:r>
              <w:rPr>
                <w:rFonts w:ascii="宋体" w:hAnsi="宋体" w:eastAsia="宋体"/>
                <w:sz w:val="18"/>
              </w:rPr>
            </w:r>
            <w:r>
              <w:rPr>
                <w:rFonts w:ascii="宋体" w:hAnsi="宋体" w:eastAsia="宋体"/>
                <w:b w:val="0"/>
                <w:sz w:val="18"/>
              </w:rPr>
              <w:t>1</w:t>
            </w:r>
          </w:p>
        </w:tc>
        <w:tc>
          <w:tcPr>
            <w:tcW w:type="dxa" w:w="2448"/>
          </w:tcPr>
          <w:p>
            <w:r>
              <w:rPr>
                <w:rFonts w:ascii="宋体" w:hAnsi="宋体" w:eastAsia="宋体"/>
                <w:sz w:val="18"/>
              </w:rPr>
            </w:r>
            <w:r>
              <w:rPr>
                <w:rFonts w:ascii="宋体" w:hAnsi="宋体" w:eastAsia="宋体"/>
                <w:b w:val="0"/>
                <w:sz w:val="18"/>
              </w:rPr>
              <w:t>结构模式标识；1 表示 Miura-ori</w:t>
            </w:r>
          </w:p>
        </w:tc>
        <w:tc>
          <w:tcPr>
            <w:tcW w:type="dxa" w:w="2448"/>
          </w:tcPr>
          <w:p>
            <w:r>
              <w:rPr>
                <w:rFonts w:ascii="宋体" w:hAnsi="宋体" w:eastAsia="宋体"/>
                <w:sz w:val="18"/>
              </w:rPr>
            </w:r>
            <w:r>
              <w:rPr>
                <w:rFonts w:ascii="宋体" w:hAnsi="宋体" w:eastAsia="宋体"/>
                <w:b w:val="0"/>
                <w:sz w:val="18"/>
              </w:rPr>
              <w:t>当前固定，保证 Miura-only 数据集一致性</w:t>
            </w:r>
          </w:p>
        </w:tc>
      </w:tr>
      <w:tr>
        <w:tc>
          <w:tcPr>
            <w:tcW w:type="dxa" w:w="2448"/>
          </w:tcPr>
          <w:p>
            <w:r>
              <w:rPr>
                <w:rFonts w:ascii="宋体" w:hAnsi="宋体" w:eastAsia="宋体"/>
                <w:sz w:val="18"/>
              </w:rPr>
            </w:r>
            <w:r>
              <w:rPr>
                <w:rFonts w:ascii="宋体" w:hAnsi="宋体" w:eastAsia="宋体"/>
                <w:b w:val="0"/>
                <w:sz w:val="18"/>
              </w:rPr>
              <w:t>m</w:t>
            </w:r>
          </w:p>
        </w:tc>
        <w:tc>
          <w:tcPr>
            <w:tcW w:type="dxa" w:w="2448"/>
          </w:tcPr>
          <w:p>
            <w:r>
              <w:rPr>
                <w:rFonts w:ascii="宋体" w:hAnsi="宋体" w:eastAsia="宋体"/>
                <w:sz w:val="18"/>
              </w:rPr>
            </w:r>
            <w:r>
              <w:rPr>
                <w:rFonts w:ascii="宋体" w:hAnsi="宋体" w:eastAsia="宋体"/>
                <w:b w:val="0"/>
                <w:sz w:val="18"/>
              </w:rPr>
              <w:t>{24, 30, 36}</w:t>
            </w:r>
          </w:p>
        </w:tc>
        <w:tc>
          <w:tcPr>
            <w:tcW w:type="dxa" w:w="2448"/>
          </w:tcPr>
          <w:p>
            <w:r>
              <w:rPr>
                <w:rFonts w:ascii="宋体" w:hAnsi="宋体" w:eastAsia="宋体"/>
                <w:sz w:val="18"/>
              </w:rPr>
            </w:r>
            <w:r>
              <w:rPr>
                <w:rFonts w:ascii="宋体" w:hAnsi="宋体" w:eastAsia="宋体"/>
                <w:b w:val="0"/>
                <w:sz w:val="18"/>
              </w:rPr>
              <w:t>沿一个方向的离散尺寸参数；脚本中 b=L/m</w:t>
            </w:r>
          </w:p>
        </w:tc>
        <w:tc>
          <w:tcPr>
            <w:tcW w:type="dxa" w:w="2448"/>
          </w:tcPr>
          <w:p>
            <w:r>
              <w:rPr>
                <w:rFonts w:ascii="宋体" w:hAnsi="宋体" w:eastAsia="宋体"/>
                <w:sz w:val="18"/>
              </w:rPr>
            </w:r>
            <w:r>
              <w:rPr>
                <w:rFonts w:ascii="宋体" w:hAnsi="宋体" w:eastAsia="宋体"/>
                <w:b w:val="0"/>
                <w:sz w:val="18"/>
              </w:rPr>
              <w:t>改变单元尺度和折痕数量，影响整体柔顺性与载荷传递路径</w:t>
            </w:r>
          </w:p>
        </w:tc>
      </w:tr>
      <w:tr>
        <w:tc>
          <w:tcPr>
            <w:tcW w:type="dxa" w:w="2448"/>
          </w:tcPr>
          <w:p>
            <w:r>
              <w:rPr>
                <w:rFonts w:ascii="宋体" w:hAnsi="宋体" w:eastAsia="宋体"/>
                <w:sz w:val="18"/>
              </w:rPr>
            </w:r>
            <w:r>
              <w:rPr>
                <w:rFonts w:ascii="宋体" w:hAnsi="宋体" w:eastAsia="宋体"/>
                <w:b w:val="0"/>
                <w:sz w:val="18"/>
              </w:rPr>
              <w:t>n</w:t>
            </w:r>
          </w:p>
        </w:tc>
        <w:tc>
          <w:tcPr>
            <w:tcW w:type="dxa" w:w="2448"/>
          </w:tcPr>
          <w:p>
            <w:r>
              <w:rPr>
                <w:rFonts w:ascii="宋体" w:hAnsi="宋体" w:eastAsia="宋体"/>
                <w:sz w:val="18"/>
              </w:rPr>
            </w:r>
            <w:r>
              <w:rPr>
                <w:rFonts w:ascii="宋体" w:hAnsi="宋体" w:eastAsia="宋体"/>
                <w:b w:val="0"/>
                <w:sz w:val="18"/>
              </w:rPr>
              <w:t>{6, 9, 12}</w:t>
            </w:r>
          </w:p>
        </w:tc>
        <w:tc>
          <w:tcPr>
            <w:tcW w:type="dxa" w:w="2448"/>
          </w:tcPr>
          <w:p>
            <w:r>
              <w:rPr>
                <w:rFonts w:ascii="宋体" w:hAnsi="宋体" w:eastAsia="宋体"/>
                <w:sz w:val="18"/>
              </w:rPr>
            </w:r>
            <w:r>
              <w:rPr>
                <w:rFonts w:ascii="宋体" w:hAnsi="宋体" w:eastAsia="宋体"/>
                <w:b w:val="0"/>
                <w:sz w:val="18"/>
              </w:rPr>
              <w:t>横向/另一方向离散尺寸参数；脚本中 a=(L-b*cot(gamma))/n</w:t>
            </w:r>
          </w:p>
        </w:tc>
        <w:tc>
          <w:tcPr>
            <w:tcW w:type="dxa" w:w="2448"/>
          </w:tcPr>
          <w:p>
            <w:r>
              <w:rPr>
                <w:rFonts w:ascii="宋体" w:hAnsi="宋体" w:eastAsia="宋体"/>
                <w:sz w:val="18"/>
              </w:rPr>
            </w:r>
            <w:r>
              <w:rPr>
                <w:rFonts w:ascii="宋体" w:hAnsi="宋体" w:eastAsia="宋体"/>
                <w:b w:val="0"/>
                <w:sz w:val="18"/>
              </w:rPr>
              <w:t>改变单元宽度和面板形状，影响弯曲与轴向响应差异</w:t>
            </w:r>
          </w:p>
        </w:tc>
      </w:tr>
      <w:tr>
        <w:tc>
          <w:tcPr>
            <w:tcW w:type="dxa" w:w="2448"/>
          </w:tcPr>
          <w:p>
            <w:r>
              <w:rPr>
                <w:rFonts w:ascii="宋体" w:hAnsi="宋体" w:eastAsia="宋体"/>
                <w:sz w:val="18"/>
              </w:rPr>
            </w:r>
            <w:r>
              <w:rPr>
                <w:rFonts w:ascii="宋体" w:hAnsi="宋体" w:eastAsia="宋体"/>
                <w:b w:val="0"/>
                <w:sz w:val="18"/>
              </w:rPr>
              <w:t>tcrease</w:t>
            </w:r>
          </w:p>
        </w:tc>
        <w:tc>
          <w:tcPr>
            <w:tcW w:type="dxa" w:w="2448"/>
          </w:tcPr>
          <w:p>
            <w:r>
              <w:rPr>
                <w:rFonts w:ascii="宋体" w:hAnsi="宋体" w:eastAsia="宋体"/>
                <w:sz w:val="18"/>
              </w:rPr>
            </w:r>
            <w:r>
              <w:rPr>
                <w:rFonts w:ascii="宋体" w:hAnsi="宋体" w:eastAsia="宋体"/>
                <w:b w:val="0"/>
                <w:sz w:val="18"/>
              </w:rPr>
              <w:t>0.0005-0.001 m</w:t>
            </w:r>
          </w:p>
        </w:tc>
        <w:tc>
          <w:tcPr>
            <w:tcW w:type="dxa" w:w="2448"/>
          </w:tcPr>
          <w:p>
            <w:r>
              <w:rPr>
                <w:rFonts w:ascii="宋体" w:hAnsi="宋体" w:eastAsia="宋体"/>
                <w:sz w:val="18"/>
              </w:rPr>
            </w:r>
            <w:r>
              <w:rPr>
                <w:rFonts w:ascii="宋体" w:hAnsi="宋体" w:eastAsia="宋体"/>
                <w:b w:val="0"/>
                <w:sz w:val="18"/>
              </w:rPr>
              <w:t>折痕区域等效厚度</w:t>
            </w:r>
          </w:p>
        </w:tc>
        <w:tc>
          <w:tcPr>
            <w:tcW w:type="dxa" w:w="2448"/>
          </w:tcPr>
          <w:p>
            <w:r>
              <w:rPr>
                <w:rFonts w:ascii="宋体" w:hAnsi="宋体" w:eastAsia="宋体"/>
                <w:sz w:val="18"/>
              </w:rPr>
            </w:r>
            <w:r>
              <w:rPr>
                <w:rFonts w:ascii="宋体" w:hAnsi="宋体" w:eastAsia="宋体"/>
                <w:b w:val="0"/>
                <w:sz w:val="18"/>
              </w:rPr>
              <w:t>主要控制折痕转动刚度，厚度增大通常使折痕更难转动</w:t>
            </w:r>
          </w:p>
        </w:tc>
      </w:tr>
      <w:tr>
        <w:tc>
          <w:tcPr>
            <w:tcW w:type="dxa" w:w="2448"/>
          </w:tcPr>
          <w:p>
            <w:r>
              <w:rPr>
                <w:rFonts w:ascii="宋体" w:hAnsi="宋体" w:eastAsia="宋体"/>
                <w:sz w:val="18"/>
              </w:rPr>
            </w:r>
            <w:r>
              <w:rPr>
                <w:rFonts w:ascii="宋体" w:hAnsi="宋体" w:eastAsia="宋体"/>
                <w:b w:val="0"/>
                <w:sz w:val="18"/>
              </w:rPr>
              <w:t>tpanel</w:t>
            </w:r>
          </w:p>
        </w:tc>
        <w:tc>
          <w:tcPr>
            <w:tcW w:type="dxa" w:w="2448"/>
          </w:tcPr>
          <w:p>
            <w:r>
              <w:rPr>
                <w:rFonts w:ascii="宋体" w:hAnsi="宋体" w:eastAsia="宋体"/>
                <w:sz w:val="18"/>
              </w:rPr>
            </w:r>
            <w:r>
              <w:rPr>
                <w:rFonts w:ascii="宋体" w:hAnsi="宋体" w:eastAsia="宋体"/>
                <w:b w:val="0"/>
                <w:sz w:val="18"/>
              </w:rPr>
              <w:t>0.001-0.006 m</w:t>
            </w:r>
          </w:p>
        </w:tc>
        <w:tc>
          <w:tcPr>
            <w:tcW w:type="dxa" w:w="2448"/>
          </w:tcPr>
          <w:p>
            <w:r>
              <w:rPr>
                <w:rFonts w:ascii="宋体" w:hAnsi="宋体" w:eastAsia="宋体"/>
                <w:sz w:val="18"/>
              </w:rPr>
            </w:r>
            <w:r>
              <w:rPr>
                <w:rFonts w:ascii="宋体" w:hAnsi="宋体" w:eastAsia="宋体"/>
                <w:b w:val="0"/>
                <w:sz w:val="18"/>
              </w:rPr>
              <w:t>面板区域厚度</w:t>
            </w:r>
          </w:p>
        </w:tc>
        <w:tc>
          <w:tcPr>
            <w:tcW w:type="dxa" w:w="2448"/>
          </w:tcPr>
          <w:p>
            <w:r>
              <w:rPr>
                <w:rFonts w:ascii="宋体" w:hAnsi="宋体" w:eastAsia="宋体"/>
                <w:sz w:val="18"/>
              </w:rPr>
            </w:r>
            <w:r>
              <w:rPr>
                <w:rFonts w:ascii="宋体" w:hAnsi="宋体" w:eastAsia="宋体"/>
                <w:b w:val="0"/>
                <w:sz w:val="18"/>
              </w:rPr>
              <w:t>主要控制面板拉伸/弯曲刚度，厚度增大通常提高整体承载能力</w:t>
            </w:r>
          </w:p>
        </w:tc>
      </w:tr>
      <w:tr>
        <w:tc>
          <w:tcPr>
            <w:tcW w:type="dxa" w:w="2448"/>
          </w:tcPr>
          <w:p>
            <w:r>
              <w:rPr>
                <w:rFonts w:ascii="宋体" w:hAnsi="宋体" w:eastAsia="宋体"/>
                <w:sz w:val="18"/>
              </w:rPr>
            </w:r>
            <w:r>
              <w:rPr>
                <w:rFonts w:ascii="宋体" w:hAnsi="宋体" w:eastAsia="宋体"/>
                <w:b w:val="0"/>
                <w:sz w:val="18"/>
              </w:rPr>
              <w:t>W</w:t>
            </w:r>
          </w:p>
        </w:tc>
        <w:tc>
          <w:tcPr>
            <w:tcW w:type="dxa" w:w="2448"/>
          </w:tcPr>
          <w:p>
            <w:r>
              <w:rPr>
                <w:rFonts w:ascii="宋体" w:hAnsi="宋体" w:eastAsia="宋体"/>
                <w:sz w:val="18"/>
              </w:rPr>
            </w:r>
            <w:r>
              <w:rPr>
                <w:rFonts w:ascii="宋体" w:hAnsi="宋体" w:eastAsia="宋体"/>
                <w:b w:val="0"/>
                <w:sz w:val="18"/>
              </w:rPr>
              <w:t>0.001-0.004 m</w:t>
            </w:r>
          </w:p>
        </w:tc>
        <w:tc>
          <w:tcPr>
            <w:tcW w:type="dxa" w:w="2448"/>
          </w:tcPr>
          <w:p>
            <w:r>
              <w:rPr>
                <w:rFonts w:ascii="宋体" w:hAnsi="宋体" w:eastAsia="宋体"/>
                <w:sz w:val="18"/>
              </w:rPr>
            </w:r>
            <w:r>
              <w:rPr>
                <w:rFonts w:ascii="宋体" w:hAnsi="宋体" w:eastAsia="宋体"/>
                <w:b w:val="0"/>
                <w:sz w:val="18"/>
              </w:rPr>
              <w:t>折痕宽度，同时作为面板弹簧计算中的宽度尺度</w:t>
            </w:r>
          </w:p>
        </w:tc>
        <w:tc>
          <w:tcPr>
            <w:tcW w:type="dxa" w:w="2448"/>
          </w:tcPr>
          <w:p>
            <w:r>
              <w:rPr>
                <w:rFonts w:ascii="宋体" w:hAnsi="宋体" w:eastAsia="宋体"/>
                <w:sz w:val="18"/>
              </w:rPr>
            </w:r>
            <w:r>
              <w:rPr>
                <w:rFonts w:ascii="宋体" w:hAnsi="宋体" w:eastAsia="宋体"/>
                <w:b w:val="0"/>
                <w:sz w:val="18"/>
              </w:rPr>
              <w:t>影响折痕铰链刚度和面板等效弹簧刚度</w:t>
            </w:r>
          </w:p>
        </w:tc>
      </w:tr>
      <w:tr>
        <w:tc>
          <w:tcPr>
            <w:tcW w:type="dxa" w:w="2448"/>
          </w:tcPr>
          <w:p>
            <w:r>
              <w:rPr>
                <w:rFonts w:ascii="宋体" w:hAnsi="宋体" w:eastAsia="宋体"/>
                <w:sz w:val="18"/>
              </w:rPr>
            </w:r>
            <w:r>
              <w:rPr>
                <w:rFonts w:ascii="宋体" w:hAnsi="宋体" w:eastAsia="宋体"/>
                <w:b w:val="0"/>
                <w:sz w:val="18"/>
              </w:rPr>
              <w:t>creaseE</w:t>
            </w:r>
          </w:p>
        </w:tc>
        <w:tc>
          <w:tcPr>
            <w:tcW w:type="dxa" w:w="2448"/>
          </w:tcPr>
          <w:p>
            <w:r>
              <w:rPr>
                <w:rFonts w:ascii="宋体" w:hAnsi="宋体" w:eastAsia="宋体"/>
                <w:sz w:val="18"/>
              </w:rPr>
            </w:r>
            <w:r>
              <w:rPr>
                <w:rFonts w:ascii="宋体" w:hAnsi="宋体" w:eastAsia="宋体"/>
                <w:b w:val="0"/>
                <w:sz w:val="18"/>
              </w:rPr>
              <w:t>1.0e9-5.0e9 Pa</w:t>
            </w:r>
          </w:p>
        </w:tc>
        <w:tc>
          <w:tcPr>
            <w:tcW w:type="dxa" w:w="2448"/>
          </w:tcPr>
          <w:p>
            <w:r>
              <w:rPr>
                <w:rFonts w:ascii="宋体" w:hAnsi="宋体" w:eastAsia="宋体"/>
                <w:sz w:val="18"/>
              </w:rPr>
            </w:r>
            <w:r>
              <w:rPr>
                <w:rFonts w:ascii="宋体" w:hAnsi="宋体" w:eastAsia="宋体"/>
                <w:b w:val="0"/>
                <w:sz w:val="18"/>
              </w:rPr>
              <w:t>折痕区域等效 Young's modulus</w:t>
            </w:r>
          </w:p>
        </w:tc>
        <w:tc>
          <w:tcPr>
            <w:tcW w:type="dxa" w:w="2448"/>
          </w:tcPr>
          <w:p>
            <w:r>
              <w:rPr>
                <w:rFonts w:ascii="宋体" w:hAnsi="宋体" w:eastAsia="宋体"/>
                <w:sz w:val="18"/>
              </w:rPr>
            </w:r>
            <w:r>
              <w:rPr>
                <w:rFonts w:ascii="宋体" w:hAnsi="宋体" w:eastAsia="宋体"/>
                <w:b w:val="0"/>
                <w:sz w:val="18"/>
              </w:rPr>
              <w:t>控制折痕材料刚度，影响折叠/展开阻力</w:t>
            </w:r>
          </w:p>
        </w:tc>
      </w:tr>
      <w:tr>
        <w:tc>
          <w:tcPr>
            <w:tcW w:type="dxa" w:w="2448"/>
          </w:tcPr>
          <w:p>
            <w:r>
              <w:rPr>
                <w:rFonts w:ascii="宋体" w:hAnsi="宋体" w:eastAsia="宋体"/>
                <w:sz w:val="18"/>
              </w:rPr>
            </w:r>
            <w:r>
              <w:rPr>
                <w:rFonts w:ascii="宋体" w:hAnsi="宋体" w:eastAsia="宋体"/>
                <w:b w:val="0"/>
                <w:sz w:val="18"/>
              </w:rPr>
              <w:t>panelE</w:t>
            </w:r>
          </w:p>
        </w:tc>
        <w:tc>
          <w:tcPr>
            <w:tcW w:type="dxa" w:w="2448"/>
          </w:tcPr>
          <w:p>
            <w:r>
              <w:rPr>
                <w:rFonts w:ascii="宋体" w:hAnsi="宋体" w:eastAsia="宋体"/>
                <w:sz w:val="18"/>
              </w:rPr>
            </w:r>
            <w:r>
              <w:rPr>
                <w:rFonts w:ascii="宋体" w:hAnsi="宋体" w:eastAsia="宋体"/>
                <w:b w:val="0"/>
                <w:sz w:val="18"/>
              </w:rPr>
              <w:t>1.0e9-5.0e9 Pa</w:t>
            </w:r>
          </w:p>
        </w:tc>
        <w:tc>
          <w:tcPr>
            <w:tcW w:type="dxa" w:w="2448"/>
          </w:tcPr>
          <w:p>
            <w:r>
              <w:rPr>
                <w:rFonts w:ascii="宋体" w:hAnsi="宋体" w:eastAsia="宋体"/>
                <w:sz w:val="18"/>
              </w:rPr>
            </w:r>
            <w:r>
              <w:rPr>
                <w:rFonts w:ascii="宋体" w:hAnsi="宋体" w:eastAsia="宋体"/>
                <w:b w:val="0"/>
                <w:sz w:val="18"/>
              </w:rPr>
              <w:t>面板区域等效 Young's modulus</w:t>
            </w:r>
          </w:p>
        </w:tc>
        <w:tc>
          <w:tcPr>
            <w:tcW w:type="dxa" w:w="2448"/>
          </w:tcPr>
          <w:p>
            <w:r>
              <w:rPr>
                <w:rFonts w:ascii="宋体" w:hAnsi="宋体" w:eastAsia="宋体"/>
                <w:sz w:val="18"/>
              </w:rPr>
            </w:r>
            <w:r>
              <w:rPr>
                <w:rFonts w:ascii="宋体" w:hAnsi="宋体" w:eastAsia="宋体"/>
                <w:b w:val="0"/>
                <w:sz w:val="18"/>
              </w:rPr>
              <w:t>控制面板材料刚度，影响整体力水平和局部变形</w:t>
            </w:r>
          </w:p>
        </w:tc>
      </w:tr>
    </w:tbl>
    <w:p/>
    <w:p>
      <w:pPr>
        <w:jc w:val="center"/>
      </w:pPr>
      <w:r>
        <w:rPr>
          <w:rFonts w:ascii="宋体" w:hAnsi="宋体" w:eastAsia="宋体"/>
          <w:i/>
          <w:sz w:val="18"/>
        </w:rPr>
        <w:t>表 2 六个输出工况与曲线编号对应关系</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rFonts w:ascii="宋体" w:hAnsi="宋体" w:eastAsia="宋体"/>
                <w:sz w:val="18"/>
              </w:rPr>
            </w:r>
            <w:r>
              <w:rPr>
                <w:rFonts w:ascii="宋体" w:hAnsi="宋体" w:eastAsia="宋体"/>
                <w:b/>
                <w:sz w:val="18"/>
              </w:rPr>
              <w:t>curve_id</w:t>
            </w:r>
          </w:p>
        </w:tc>
        <w:tc>
          <w:tcPr>
            <w:tcW w:type="dxa" w:w="1958"/>
          </w:tcPr>
          <w:p>
            <w:r>
              <w:rPr>
                <w:rFonts w:ascii="宋体" w:hAnsi="宋体" w:eastAsia="宋体"/>
                <w:sz w:val="18"/>
              </w:rPr>
            </w:r>
            <w:r>
              <w:rPr>
                <w:rFonts w:ascii="宋体" w:hAnsi="宋体" w:eastAsia="宋体"/>
                <w:b/>
                <w:sz w:val="18"/>
              </w:rPr>
              <w:t>加载类型</w:t>
            </w:r>
          </w:p>
        </w:tc>
        <w:tc>
          <w:tcPr>
            <w:tcW w:type="dxa" w:w="1958"/>
          </w:tcPr>
          <w:p>
            <w:r>
              <w:rPr>
                <w:rFonts w:ascii="宋体" w:hAnsi="宋体" w:eastAsia="宋体"/>
                <w:sz w:val="18"/>
              </w:rPr>
            </w:r>
            <w:r>
              <w:rPr>
                <w:rFonts w:ascii="宋体" w:hAnsi="宋体" w:eastAsia="宋体"/>
                <w:b/>
                <w:sz w:val="18"/>
              </w:rPr>
              <w:t>部署状态</w:t>
            </w:r>
          </w:p>
        </w:tc>
        <w:tc>
          <w:tcPr>
            <w:tcW w:type="dxa" w:w="1958"/>
          </w:tcPr>
          <w:p>
            <w:r>
              <w:rPr>
                <w:rFonts w:ascii="宋体" w:hAnsi="宋体" w:eastAsia="宋体"/>
                <w:sz w:val="18"/>
              </w:rPr>
            </w:r>
            <w:r>
              <w:rPr>
                <w:rFonts w:ascii="宋体" w:hAnsi="宋体" w:eastAsia="宋体"/>
                <w:b/>
                <w:sz w:val="18"/>
              </w:rPr>
              <w:t>响应方向</w:t>
            </w:r>
          </w:p>
        </w:tc>
        <w:tc>
          <w:tcPr>
            <w:tcW w:type="dxa" w:w="1958"/>
          </w:tcPr>
          <w:p>
            <w:r>
              <w:rPr>
                <w:rFonts w:ascii="宋体" w:hAnsi="宋体" w:eastAsia="宋体"/>
                <w:sz w:val="18"/>
              </w:rPr>
            </w:r>
            <w:r>
              <w:rPr>
                <w:rFonts w:ascii="宋体" w:hAnsi="宋体" w:eastAsia="宋体"/>
                <w:b/>
                <w:sz w:val="18"/>
              </w:rPr>
              <w:t>机器学习目标含义</w:t>
            </w:r>
          </w:p>
        </w:tc>
      </w:tr>
      <w:tr>
        <w:tc>
          <w:tcPr>
            <w:tcW w:type="dxa" w:w="1958"/>
          </w:tcPr>
          <w:p>
            <w:r>
              <w:rPr>
                <w:rFonts w:ascii="宋体" w:hAnsi="宋体" w:eastAsia="宋体"/>
                <w:sz w:val="18"/>
              </w:rPr>
            </w:r>
            <w:r>
              <w:rPr>
                <w:rFonts w:ascii="宋体" w:hAnsi="宋体" w:eastAsia="宋体"/>
                <w:b w:val="0"/>
                <w:sz w:val="18"/>
              </w:rPr>
              <w:t>0</w:t>
            </w:r>
          </w:p>
        </w:tc>
        <w:tc>
          <w:tcPr>
            <w:tcW w:type="dxa" w:w="1958"/>
          </w:tcPr>
          <w:p>
            <w:r>
              <w:rPr>
                <w:rFonts w:ascii="宋体" w:hAnsi="宋体" w:eastAsia="宋体"/>
                <w:sz w:val="18"/>
              </w:rPr>
            </w:r>
            <w:r>
              <w:rPr>
                <w:rFonts w:ascii="宋体" w:hAnsi="宋体" w:eastAsia="宋体"/>
                <w:b w:val="0"/>
                <w:sz w:val="18"/>
              </w:rPr>
              <w:t>bending</w:t>
            </w:r>
          </w:p>
        </w:tc>
        <w:tc>
          <w:tcPr>
            <w:tcW w:type="dxa" w:w="1958"/>
          </w:tcPr>
          <w:p>
            <w:r>
              <w:rPr>
                <w:rFonts w:ascii="宋体" w:hAnsi="宋体" w:eastAsia="宋体"/>
                <w:sz w:val="18"/>
              </w:rPr>
            </w:r>
            <w:r>
              <w:rPr>
                <w:rFonts w:ascii="宋体" w:hAnsi="宋体" w:eastAsia="宋体"/>
                <w:b w:val="0"/>
                <w:sz w:val="18"/>
              </w:rPr>
              <w:t>0.3</w:t>
            </w:r>
          </w:p>
        </w:tc>
        <w:tc>
          <w:tcPr>
            <w:tcW w:type="dxa" w:w="1958"/>
          </w:tcPr>
          <w:p>
            <w:r>
              <w:rPr>
                <w:rFonts w:ascii="宋体" w:hAnsi="宋体" w:eastAsia="宋体"/>
                <w:sz w:val="18"/>
              </w:rPr>
            </w:r>
            <w:r>
              <w:rPr>
                <w:rFonts w:ascii="宋体" w:hAnsi="宋体" w:eastAsia="宋体"/>
                <w:b w:val="0"/>
                <w:sz w:val="18"/>
              </w:rPr>
              <w:t>z</w:t>
            </w:r>
          </w:p>
        </w:tc>
        <w:tc>
          <w:tcPr>
            <w:tcW w:type="dxa" w:w="1958"/>
          </w:tcPr>
          <w:p>
            <w:r>
              <w:rPr>
                <w:rFonts w:ascii="宋体" w:hAnsi="宋体" w:eastAsia="宋体"/>
                <w:sz w:val="18"/>
              </w:rPr>
            </w:r>
            <w:r>
              <w:rPr>
                <w:rFonts w:ascii="宋体" w:hAnsi="宋体" w:eastAsia="宋体"/>
                <w:b w:val="0"/>
                <w:sz w:val="18"/>
              </w:rPr>
              <w:t>较折叠初始构型下的弯曲力-位移曲线</w:t>
            </w:r>
          </w:p>
        </w:tc>
      </w:tr>
      <w:tr>
        <w:tc>
          <w:tcPr>
            <w:tcW w:type="dxa" w:w="1958"/>
          </w:tcPr>
          <w:p>
            <w:r>
              <w:rPr>
                <w:rFonts w:ascii="宋体" w:hAnsi="宋体" w:eastAsia="宋体"/>
                <w:sz w:val="18"/>
              </w:rPr>
            </w:r>
            <w:r>
              <w:rPr>
                <w:rFonts w:ascii="宋体" w:hAnsi="宋体" w:eastAsia="宋体"/>
                <w:b w:val="0"/>
                <w:sz w:val="18"/>
              </w:rPr>
              <w:t>1</w:t>
            </w:r>
          </w:p>
        </w:tc>
        <w:tc>
          <w:tcPr>
            <w:tcW w:type="dxa" w:w="1958"/>
          </w:tcPr>
          <w:p>
            <w:r>
              <w:rPr>
                <w:rFonts w:ascii="宋体" w:hAnsi="宋体" w:eastAsia="宋体"/>
                <w:sz w:val="18"/>
              </w:rPr>
            </w:r>
            <w:r>
              <w:rPr>
                <w:rFonts w:ascii="宋体" w:hAnsi="宋体" w:eastAsia="宋体"/>
                <w:b w:val="0"/>
                <w:sz w:val="18"/>
              </w:rPr>
              <w:t>bending</w:t>
            </w:r>
          </w:p>
        </w:tc>
        <w:tc>
          <w:tcPr>
            <w:tcW w:type="dxa" w:w="1958"/>
          </w:tcPr>
          <w:p>
            <w:r>
              <w:rPr>
                <w:rFonts w:ascii="宋体" w:hAnsi="宋体" w:eastAsia="宋体"/>
                <w:sz w:val="18"/>
              </w:rPr>
            </w:r>
            <w:r>
              <w:rPr>
                <w:rFonts w:ascii="宋体" w:hAnsi="宋体" w:eastAsia="宋体"/>
                <w:b w:val="0"/>
                <w:sz w:val="18"/>
              </w:rPr>
              <w:t>0.6</w:t>
            </w:r>
          </w:p>
        </w:tc>
        <w:tc>
          <w:tcPr>
            <w:tcW w:type="dxa" w:w="1958"/>
          </w:tcPr>
          <w:p>
            <w:r>
              <w:rPr>
                <w:rFonts w:ascii="宋体" w:hAnsi="宋体" w:eastAsia="宋体"/>
                <w:sz w:val="18"/>
              </w:rPr>
            </w:r>
            <w:r>
              <w:rPr>
                <w:rFonts w:ascii="宋体" w:hAnsi="宋体" w:eastAsia="宋体"/>
                <w:b w:val="0"/>
                <w:sz w:val="18"/>
              </w:rPr>
              <w:t>z</w:t>
            </w:r>
          </w:p>
        </w:tc>
        <w:tc>
          <w:tcPr>
            <w:tcW w:type="dxa" w:w="1958"/>
          </w:tcPr>
          <w:p>
            <w:r>
              <w:rPr>
                <w:rFonts w:ascii="宋体" w:hAnsi="宋体" w:eastAsia="宋体"/>
                <w:sz w:val="18"/>
              </w:rPr>
            </w:r>
            <w:r>
              <w:rPr>
                <w:rFonts w:ascii="宋体" w:hAnsi="宋体" w:eastAsia="宋体"/>
                <w:b w:val="0"/>
                <w:sz w:val="18"/>
              </w:rPr>
              <w:t>中等展开初始构型下的弯曲力-位移曲线</w:t>
            </w:r>
          </w:p>
        </w:tc>
      </w:tr>
      <w:tr>
        <w:tc>
          <w:tcPr>
            <w:tcW w:type="dxa" w:w="1958"/>
          </w:tcPr>
          <w:p>
            <w:r>
              <w:rPr>
                <w:rFonts w:ascii="宋体" w:hAnsi="宋体" w:eastAsia="宋体"/>
                <w:sz w:val="18"/>
              </w:rPr>
            </w:r>
            <w:r>
              <w:rPr>
                <w:rFonts w:ascii="宋体" w:hAnsi="宋体" w:eastAsia="宋体"/>
                <w:b w:val="0"/>
                <w:sz w:val="18"/>
              </w:rPr>
              <w:t>2</w:t>
            </w:r>
          </w:p>
        </w:tc>
        <w:tc>
          <w:tcPr>
            <w:tcW w:type="dxa" w:w="1958"/>
          </w:tcPr>
          <w:p>
            <w:r>
              <w:rPr>
                <w:rFonts w:ascii="宋体" w:hAnsi="宋体" w:eastAsia="宋体"/>
                <w:sz w:val="18"/>
              </w:rPr>
            </w:r>
            <w:r>
              <w:rPr>
                <w:rFonts w:ascii="宋体" w:hAnsi="宋体" w:eastAsia="宋体"/>
                <w:b w:val="0"/>
                <w:sz w:val="18"/>
              </w:rPr>
              <w:t>bending</w:t>
            </w:r>
          </w:p>
        </w:tc>
        <w:tc>
          <w:tcPr>
            <w:tcW w:type="dxa" w:w="1958"/>
          </w:tcPr>
          <w:p>
            <w:r>
              <w:rPr>
                <w:rFonts w:ascii="宋体" w:hAnsi="宋体" w:eastAsia="宋体"/>
                <w:sz w:val="18"/>
              </w:rPr>
            </w:r>
            <w:r>
              <w:rPr>
                <w:rFonts w:ascii="宋体" w:hAnsi="宋体" w:eastAsia="宋体"/>
                <w:b w:val="0"/>
                <w:sz w:val="18"/>
              </w:rPr>
              <w:t>0.9</w:t>
            </w:r>
          </w:p>
        </w:tc>
        <w:tc>
          <w:tcPr>
            <w:tcW w:type="dxa" w:w="1958"/>
          </w:tcPr>
          <w:p>
            <w:r>
              <w:rPr>
                <w:rFonts w:ascii="宋体" w:hAnsi="宋体" w:eastAsia="宋体"/>
                <w:sz w:val="18"/>
              </w:rPr>
            </w:r>
            <w:r>
              <w:rPr>
                <w:rFonts w:ascii="宋体" w:hAnsi="宋体" w:eastAsia="宋体"/>
                <w:b w:val="0"/>
                <w:sz w:val="18"/>
              </w:rPr>
              <w:t>z</w:t>
            </w:r>
          </w:p>
        </w:tc>
        <w:tc>
          <w:tcPr>
            <w:tcW w:type="dxa" w:w="1958"/>
          </w:tcPr>
          <w:p>
            <w:r>
              <w:rPr>
                <w:rFonts w:ascii="宋体" w:hAnsi="宋体" w:eastAsia="宋体"/>
                <w:sz w:val="18"/>
              </w:rPr>
            </w:r>
            <w:r>
              <w:rPr>
                <w:rFonts w:ascii="宋体" w:hAnsi="宋体" w:eastAsia="宋体"/>
                <w:b w:val="0"/>
                <w:sz w:val="18"/>
              </w:rPr>
              <w:t>较展开初始构型下的弯曲力-位移曲线</w:t>
            </w:r>
          </w:p>
        </w:tc>
      </w:tr>
      <w:tr>
        <w:tc>
          <w:tcPr>
            <w:tcW w:type="dxa" w:w="1958"/>
          </w:tcPr>
          <w:p>
            <w:r>
              <w:rPr>
                <w:rFonts w:ascii="宋体" w:hAnsi="宋体" w:eastAsia="宋体"/>
                <w:sz w:val="18"/>
              </w:rPr>
            </w:r>
            <w:r>
              <w:rPr>
                <w:rFonts w:ascii="宋体" w:hAnsi="宋体" w:eastAsia="宋体"/>
                <w:b w:val="0"/>
                <w:sz w:val="18"/>
              </w:rPr>
              <w:t>3</w:t>
            </w:r>
          </w:p>
        </w:tc>
        <w:tc>
          <w:tcPr>
            <w:tcW w:type="dxa" w:w="1958"/>
          </w:tcPr>
          <w:p>
            <w:r>
              <w:rPr>
                <w:rFonts w:ascii="宋体" w:hAnsi="宋体" w:eastAsia="宋体"/>
                <w:sz w:val="18"/>
              </w:rPr>
            </w:r>
            <w:r>
              <w:rPr>
                <w:rFonts w:ascii="宋体" w:hAnsi="宋体" w:eastAsia="宋体"/>
                <w:b w:val="0"/>
                <w:sz w:val="18"/>
              </w:rPr>
              <w:t>axial</w:t>
            </w:r>
          </w:p>
        </w:tc>
        <w:tc>
          <w:tcPr>
            <w:tcW w:type="dxa" w:w="1958"/>
          </w:tcPr>
          <w:p>
            <w:r>
              <w:rPr>
                <w:rFonts w:ascii="宋体" w:hAnsi="宋体" w:eastAsia="宋体"/>
                <w:sz w:val="18"/>
              </w:rPr>
            </w:r>
            <w:r>
              <w:rPr>
                <w:rFonts w:ascii="宋体" w:hAnsi="宋体" w:eastAsia="宋体"/>
                <w:b w:val="0"/>
                <w:sz w:val="18"/>
              </w:rPr>
              <w:t>0.3</w:t>
            </w:r>
          </w:p>
        </w:tc>
        <w:tc>
          <w:tcPr>
            <w:tcW w:type="dxa" w:w="1958"/>
          </w:tcPr>
          <w:p>
            <w:r>
              <w:rPr>
                <w:rFonts w:ascii="宋体" w:hAnsi="宋体" w:eastAsia="宋体"/>
                <w:sz w:val="18"/>
              </w:rPr>
            </w:r>
            <w:r>
              <w:rPr>
                <w:rFonts w:ascii="宋体" w:hAnsi="宋体" w:eastAsia="宋体"/>
                <w:b w:val="0"/>
                <w:sz w:val="18"/>
              </w:rPr>
              <w:t>x</w:t>
            </w:r>
          </w:p>
        </w:tc>
        <w:tc>
          <w:tcPr>
            <w:tcW w:type="dxa" w:w="1958"/>
          </w:tcPr>
          <w:p>
            <w:r>
              <w:rPr>
                <w:rFonts w:ascii="宋体" w:hAnsi="宋体" w:eastAsia="宋体"/>
                <w:sz w:val="18"/>
              </w:rPr>
            </w:r>
            <w:r>
              <w:rPr>
                <w:rFonts w:ascii="宋体" w:hAnsi="宋体" w:eastAsia="宋体"/>
                <w:b w:val="0"/>
                <w:sz w:val="18"/>
              </w:rPr>
              <w:t>较折叠初始构型下的轴向力-位移曲线</w:t>
            </w:r>
          </w:p>
        </w:tc>
      </w:tr>
      <w:tr>
        <w:tc>
          <w:tcPr>
            <w:tcW w:type="dxa" w:w="1958"/>
          </w:tcPr>
          <w:p>
            <w:r>
              <w:rPr>
                <w:rFonts w:ascii="宋体" w:hAnsi="宋体" w:eastAsia="宋体"/>
                <w:sz w:val="18"/>
              </w:rPr>
            </w:r>
            <w:r>
              <w:rPr>
                <w:rFonts w:ascii="宋体" w:hAnsi="宋体" w:eastAsia="宋体"/>
                <w:b w:val="0"/>
                <w:sz w:val="18"/>
              </w:rPr>
              <w:t>4</w:t>
            </w:r>
          </w:p>
        </w:tc>
        <w:tc>
          <w:tcPr>
            <w:tcW w:type="dxa" w:w="1958"/>
          </w:tcPr>
          <w:p>
            <w:r>
              <w:rPr>
                <w:rFonts w:ascii="宋体" w:hAnsi="宋体" w:eastAsia="宋体"/>
                <w:sz w:val="18"/>
              </w:rPr>
            </w:r>
            <w:r>
              <w:rPr>
                <w:rFonts w:ascii="宋体" w:hAnsi="宋体" w:eastAsia="宋体"/>
                <w:b w:val="0"/>
                <w:sz w:val="18"/>
              </w:rPr>
              <w:t>axial</w:t>
            </w:r>
          </w:p>
        </w:tc>
        <w:tc>
          <w:tcPr>
            <w:tcW w:type="dxa" w:w="1958"/>
          </w:tcPr>
          <w:p>
            <w:r>
              <w:rPr>
                <w:rFonts w:ascii="宋体" w:hAnsi="宋体" w:eastAsia="宋体"/>
                <w:sz w:val="18"/>
              </w:rPr>
            </w:r>
            <w:r>
              <w:rPr>
                <w:rFonts w:ascii="宋体" w:hAnsi="宋体" w:eastAsia="宋体"/>
                <w:b w:val="0"/>
                <w:sz w:val="18"/>
              </w:rPr>
              <w:t>0.6</w:t>
            </w:r>
          </w:p>
        </w:tc>
        <w:tc>
          <w:tcPr>
            <w:tcW w:type="dxa" w:w="1958"/>
          </w:tcPr>
          <w:p>
            <w:r>
              <w:rPr>
                <w:rFonts w:ascii="宋体" w:hAnsi="宋体" w:eastAsia="宋体"/>
                <w:sz w:val="18"/>
              </w:rPr>
            </w:r>
            <w:r>
              <w:rPr>
                <w:rFonts w:ascii="宋体" w:hAnsi="宋体" w:eastAsia="宋体"/>
                <w:b w:val="0"/>
                <w:sz w:val="18"/>
              </w:rPr>
              <w:t>x</w:t>
            </w:r>
          </w:p>
        </w:tc>
        <w:tc>
          <w:tcPr>
            <w:tcW w:type="dxa" w:w="1958"/>
          </w:tcPr>
          <w:p>
            <w:r>
              <w:rPr>
                <w:rFonts w:ascii="宋体" w:hAnsi="宋体" w:eastAsia="宋体"/>
                <w:sz w:val="18"/>
              </w:rPr>
            </w:r>
            <w:r>
              <w:rPr>
                <w:rFonts w:ascii="宋体" w:hAnsi="宋体" w:eastAsia="宋体"/>
                <w:b w:val="0"/>
                <w:sz w:val="18"/>
              </w:rPr>
              <w:t>中等展开初始构型下的轴向力-位移曲线</w:t>
            </w:r>
          </w:p>
        </w:tc>
      </w:tr>
      <w:tr>
        <w:tc>
          <w:tcPr>
            <w:tcW w:type="dxa" w:w="1958"/>
          </w:tcPr>
          <w:p>
            <w:r>
              <w:rPr>
                <w:rFonts w:ascii="宋体" w:hAnsi="宋体" w:eastAsia="宋体"/>
                <w:sz w:val="18"/>
              </w:rPr>
            </w:r>
            <w:r>
              <w:rPr>
                <w:rFonts w:ascii="宋体" w:hAnsi="宋体" w:eastAsia="宋体"/>
                <w:b w:val="0"/>
                <w:sz w:val="18"/>
              </w:rPr>
              <w:t>5</w:t>
            </w:r>
          </w:p>
        </w:tc>
        <w:tc>
          <w:tcPr>
            <w:tcW w:type="dxa" w:w="1958"/>
          </w:tcPr>
          <w:p>
            <w:r>
              <w:rPr>
                <w:rFonts w:ascii="宋体" w:hAnsi="宋体" w:eastAsia="宋体"/>
                <w:sz w:val="18"/>
              </w:rPr>
            </w:r>
            <w:r>
              <w:rPr>
                <w:rFonts w:ascii="宋体" w:hAnsi="宋体" w:eastAsia="宋体"/>
                <w:b w:val="0"/>
                <w:sz w:val="18"/>
              </w:rPr>
              <w:t>axial</w:t>
            </w:r>
          </w:p>
        </w:tc>
        <w:tc>
          <w:tcPr>
            <w:tcW w:type="dxa" w:w="1958"/>
          </w:tcPr>
          <w:p>
            <w:r>
              <w:rPr>
                <w:rFonts w:ascii="宋体" w:hAnsi="宋体" w:eastAsia="宋体"/>
                <w:sz w:val="18"/>
              </w:rPr>
            </w:r>
            <w:r>
              <w:rPr>
                <w:rFonts w:ascii="宋体" w:hAnsi="宋体" w:eastAsia="宋体"/>
                <w:b w:val="0"/>
                <w:sz w:val="18"/>
              </w:rPr>
              <w:t>0.9</w:t>
            </w:r>
          </w:p>
        </w:tc>
        <w:tc>
          <w:tcPr>
            <w:tcW w:type="dxa" w:w="1958"/>
          </w:tcPr>
          <w:p>
            <w:r>
              <w:rPr>
                <w:rFonts w:ascii="宋体" w:hAnsi="宋体" w:eastAsia="宋体"/>
                <w:sz w:val="18"/>
              </w:rPr>
            </w:r>
            <w:r>
              <w:rPr>
                <w:rFonts w:ascii="宋体" w:hAnsi="宋体" w:eastAsia="宋体"/>
                <w:b w:val="0"/>
                <w:sz w:val="18"/>
              </w:rPr>
              <w:t>x</w:t>
            </w:r>
          </w:p>
        </w:tc>
        <w:tc>
          <w:tcPr>
            <w:tcW w:type="dxa" w:w="1958"/>
          </w:tcPr>
          <w:p>
            <w:r>
              <w:rPr>
                <w:rFonts w:ascii="宋体" w:hAnsi="宋体" w:eastAsia="宋体"/>
                <w:sz w:val="18"/>
              </w:rPr>
            </w:r>
            <w:r>
              <w:rPr>
                <w:rFonts w:ascii="宋体" w:hAnsi="宋体" w:eastAsia="宋体"/>
                <w:b w:val="0"/>
                <w:sz w:val="18"/>
              </w:rPr>
              <w:t>较展开初始构型下的轴向力-位移曲线</w:t>
            </w:r>
          </w:p>
        </w:tc>
      </w:tr>
    </w:tbl>
    <w:p/>
    <w:p>
      <w:pPr>
        <w:jc w:val="center"/>
      </w:pPr>
      <w:r>
        <w:drawing>
          <wp:inline xmlns:a="http://schemas.openxmlformats.org/drawingml/2006/main" xmlns:pic="http://schemas.openxmlformats.org/drawingml/2006/picture">
            <wp:extent cx="5394960" cy="3069834"/>
            <wp:docPr id="1" name="Picture 1"/>
            <wp:cNvGraphicFramePr>
              <a:graphicFrameLocks noChangeAspect="1"/>
            </wp:cNvGraphicFramePr>
            <a:graphic>
              <a:graphicData uri="http://schemas.openxmlformats.org/drawingml/2006/picture">
                <pic:pic>
                  <pic:nvPicPr>
                    <pic:cNvPr id="0" name="miura_parameter_mapping_schematic.png"/>
                    <pic:cNvPicPr/>
                  </pic:nvPicPr>
                  <pic:blipFill>
                    <a:blip r:embed="rId10"/>
                    <a:stretch>
                      <a:fillRect/>
                    </a:stretch>
                  </pic:blipFill>
                  <pic:spPr>
                    <a:xfrm>
                      <a:off x="0" y="0"/>
                      <a:ext cx="5394960" cy="3069834"/>
                    </a:xfrm>
                    <a:prstGeom prst="rect"/>
                  </pic:spPr>
                </pic:pic>
              </a:graphicData>
            </a:graphic>
          </wp:inline>
        </w:drawing>
      </w:r>
    </w:p>
    <w:p>
      <w:pPr>
        <w:jc w:val="center"/>
      </w:pPr>
      <w:r>
        <w:rPr>
          <w:rFonts w:ascii="宋体" w:hAnsi="宋体" w:eastAsia="宋体"/>
          <w:i/>
          <w:sz w:val="18"/>
        </w:rPr>
        <w:t>图 1 当前 Miura-ori 的 SWOMPS 仿真加载过程与参数标注。左边界固定全部平动自由度，右边界施加节点力；上图为弯曲工况 -Z 方向力控加载，下图为轴向工况 +X 方向力控加载。m/n 控制单元离散尺寸，tcrease/W/creaseE 对应折痕区域，tpanel/panelE 对应面板区域。</w:t>
      </w:r>
    </w:p>
    <w:p>
      <w:pPr>
        <w:pStyle w:val="Heading2"/>
      </w:pPr>
      <w:r>
        <w:t>2.2 材料参数化与选择依据</w:t>
      </w:r>
    </w:p>
    <w:p>
      <w:pPr>
        <w:spacing w:line="276" w:lineRule="auto"/>
        <w:ind w:firstLine="420"/>
      </w:pPr>
      <w:r>
        <w:rPr>
          <w:rFonts w:ascii="宋体" w:hAnsi="宋体" w:eastAsia="宋体"/>
          <w:sz w:val="21"/>
        </w:rPr>
        <w:t>本研究未将仿真材料限定为某一种具体材料牌号，而是沿用原始 Miura MaterialProperty 数据集的参数化等效材料逻辑。在原始数据生成脚本中，折痕厚度、面板厚度、折痕宽度、折痕 Young's modulus 和面板 Young's modulus 均作为设计变量随机采样；因此本文在构造 nonlinear 曲线数据集时保留这些变量，以保持新数据集与原始参数空间的一致性。</w:t>
      </w:r>
    </w:p>
    <w:p>
      <w:pPr>
        <w:spacing w:line="276" w:lineRule="auto"/>
        <w:ind w:firstLine="420"/>
      </w:pPr>
      <w:r>
        <w:rPr>
          <w:rFonts w:ascii="宋体" w:hAnsi="宋体" w:eastAsia="宋体"/>
          <w:sz w:val="21"/>
        </w:rPr>
        <w:t>具体而言，折痕与面板被建模为两个等效线弹性区域：tcrease 和 creaseE 控制折痕区域的等效柔顺性，tpanel 和 panelE 控制面板区域的拉伸与弯曲刚度，W 表示折痕宽度。泊松比固定为 0.3，密度固定为 1200 kg/m3。由于本文采用的是 SWOMPS Newton-Raphson 准静态加载，力-位移曲线主要由几何构型、厚度、折痕宽度和弹性模量决定，密度不会像动力学仿真中那样主导响应。</w:t>
      </w:r>
    </w:p>
    <w:p>
      <w:pPr>
        <w:spacing w:line="276" w:lineRule="auto"/>
        <w:ind w:firstLine="420"/>
      </w:pPr>
      <w:r>
        <w:rPr>
          <w:rFonts w:ascii="宋体" w:hAnsi="宋体" w:eastAsia="宋体"/>
          <w:sz w:val="21"/>
        </w:rPr>
        <w:t>这种选择的优势是能够学习“几何-材料等效参数-多工况响应”的连续映射，并保留折痕与面板力学性质不同这一折纸结构中的关键特征。如果直接选用 PLA、TPU、铝或树脂等少数具体材料，虽然工程解释更直观，但会压缩材料参数空间，并可能破坏与原数据集的输入定义一致性。因此，当前数据集更适合作为概率逆向设计模型的主训练集；面向后续论文强化时，可额外选取若干真实材料组合进行 material-specific validation。</w:t>
      </w:r>
    </w:p>
    <w:p>
      <w:pPr>
        <w:pStyle w:val="Heading2"/>
      </w:pPr>
      <w:r>
        <w:t>2.3 SWOMPS 非线性仿真流程</w:t>
      </w:r>
    </w:p>
    <w:p>
      <w:pPr>
        <w:spacing w:line="276" w:lineRule="auto"/>
        <w:ind w:firstLine="420"/>
      </w:pPr>
      <w:r>
        <w:rPr>
          <w:rFonts w:ascii="宋体" w:hAnsi="宋体" w:eastAsia="宋体"/>
          <w:sz w:val="21"/>
        </w:rPr>
        <w:t>正式数据生成采用 stiffness-scaled 大载荷策略。首先根据小载荷响应估计每条工况曲线的参考刚度，然后令最终载荷等于参考刚度乘以目标线性位移 0.015，并设置最大载荷上限 10000。每条曲线离散为 80 个加载步，记录 force、displacement、signed_force、signed_displacement、converged 以及应变能、杆件应力/应变、折痕力矩与折痕转角等物理摘要量。这种设置使数据不再局限于线性刚度复现，而是覆盖更大的几何非线性响应区间。</w:t>
      </w:r>
    </w:p>
    <w:p>
      <w:pPr>
        <w:pStyle w:val="Heading2"/>
      </w:pPr>
      <w:r>
        <w:t>2.4 真实验证流程</w:t>
      </w:r>
    </w:p>
    <w:p>
      <w:pPr>
        <w:spacing w:line="276" w:lineRule="auto"/>
        <w:ind w:firstLine="420"/>
      </w:pPr>
      <w:r>
        <w:rPr>
          <w:rFonts w:ascii="宋体" w:hAnsi="宋体" w:eastAsia="宋体"/>
          <w:sz w:val="21"/>
        </w:rPr>
        <w:t>为了验证后向模型生成参数是否真正可被 SWOMPS 接受，而不是只在前向代理模型下闭环成立，本文进行了二级验证。首先从后向 diffusion 输出的 generated_parameters_closed_loop.csv 中按 closed_loop_scaled_mse 选择误差最低的 10 个候选参数。随后使用这些生成参数重新运行 3 步小载荷 SWOMPS 仿真，按 final_force/final_displacement 估计每个候选结构自己的 6 个参考刚度。最后使用与原 nonlinear 数据集一致的 80 点大载荷逻辑重新仿真，并将真实 SWOMPS 曲线与对应目标曲线逐点比较。</w:t>
      </w:r>
    </w:p>
    <w:p>
      <w:pPr>
        <w:pStyle w:val="Heading1"/>
      </w:pPr>
      <w:r>
        <w:t>3 模型方法</w:t>
      </w:r>
    </w:p>
    <w:p>
      <w:pPr>
        <w:pStyle w:val="Heading2"/>
      </w:pPr>
      <w:r>
        <w:t>3.1 正向 GNN-Transformer</w:t>
      </w:r>
    </w:p>
    <w:p>
      <w:pPr>
        <w:spacing w:line="276" w:lineRule="auto"/>
        <w:ind w:firstLine="420"/>
      </w:pPr>
      <w:r>
        <w:rPr>
          <w:rFonts w:ascii="宋体" w:hAnsi="宋体" w:eastAsia="宋体"/>
          <w:sz w:val="21"/>
        </w:rPr>
        <w:t>正向模型以 8 维参数为输入，将离散变量通过类别嵌入表示，将连续变量标准化后输入图结构与 Transformer 混合编码器。输出端采用时序解码结构预测 6 个工况下的 80 点响应曲线，并加入平滑与力单调正则以抑制曲线抖动。该模型用于快速近似 SWOMPS 响应，并在后向模型候选筛选中作为闭环代理。</w:t>
      </w:r>
    </w:p>
    <w:p>
      <w:pPr>
        <w:pStyle w:val="Heading2"/>
      </w:pPr>
      <w:r>
        <w:t>3.2 条件 diffusion 后向模型</w:t>
      </w:r>
    </w:p>
    <w:p>
      <w:pPr>
        <w:spacing w:line="276" w:lineRule="auto"/>
        <w:ind w:firstLine="420"/>
      </w:pPr>
      <w:r>
        <w:rPr>
          <w:rFonts w:ascii="宋体" w:hAnsi="宋体" w:eastAsia="宋体"/>
          <w:sz w:val="21"/>
        </w:rPr>
        <w:t>后向模型以目标力-位移曲线为条件，扩散生成 8 维设计参数。由于折纸逆向设计天然具有一对多特征，单一确定性回归往往难以覆盖所有可行设计；条件 diffusion 通过采样多个候选参数，为每个目标曲线提供一组可能设计。在候选选择阶段，本文对生成参数进行类别 snap 与连续范围 clip，并引入负物理量惩罚项，使前向代理预测中出现负位移或负力的候选更难被选中。</w:t>
      </w:r>
    </w:p>
    <w:p>
      <w:pPr>
        <w:pStyle w:val="Heading1"/>
      </w:pPr>
      <w:r>
        <w:t>4 结果</w:t>
      </w:r>
    </w:p>
    <w:p>
      <w:pPr>
        <w:jc w:val="center"/>
      </w:pPr>
      <w:r>
        <w:rPr>
          <w:rFonts w:ascii="宋体" w:hAnsi="宋体" w:eastAsia="宋体"/>
          <w:i/>
          <w:sz w:val="18"/>
        </w:rPr>
        <w:t>表 3 数据集、模型与验证配置</w:t>
      </w:r>
    </w:p>
    <w:tbl>
      <w:tblPr>
        <w:tblStyle w:val="TableGrid"/>
        <w:tblW w:type="auto" w:w="0"/>
        <w:tblLook w:firstColumn="1" w:firstRow="1" w:lastColumn="0" w:lastRow="0" w:noHBand="0" w:noVBand="1" w:val="04A0"/>
      </w:tblPr>
      <w:tblGrid>
        <w:gridCol w:w="4896"/>
        <w:gridCol w:w="4896"/>
      </w:tblGrid>
      <w:tr>
        <w:tc>
          <w:tcPr>
            <w:tcW w:type="dxa" w:w="4896"/>
          </w:tcPr>
          <w:p>
            <w:r>
              <w:rPr>
                <w:rFonts w:ascii="宋体" w:hAnsi="宋体" w:eastAsia="宋体"/>
                <w:sz w:val="18"/>
              </w:rPr>
            </w:r>
            <w:r>
              <w:rPr>
                <w:rFonts w:ascii="宋体" w:hAnsi="宋体" w:eastAsia="宋体"/>
                <w:b/>
                <w:sz w:val="18"/>
              </w:rPr>
              <w:t>项目</w:t>
            </w:r>
          </w:p>
        </w:tc>
        <w:tc>
          <w:tcPr>
            <w:tcW w:type="dxa" w:w="4896"/>
          </w:tcPr>
          <w:p>
            <w:r>
              <w:rPr>
                <w:rFonts w:ascii="宋体" w:hAnsi="宋体" w:eastAsia="宋体"/>
                <w:sz w:val="18"/>
              </w:rPr>
            </w:r>
            <w:r>
              <w:rPr>
                <w:rFonts w:ascii="宋体" w:hAnsi="宋体" w:eastAsia="宋体"/>
                <w:b/>
                <w:sz w:val="18"/>
              </w:rPr>
              <w:t>设置或结果</w:t>
            </w:r>
          </w:p>
        </w:tc>
      </w:tr>
      <w:tr>
        <w:tc>
          <w:tcPr>
            <w:tcW w:type="dxa" w:w="4896"/>
          </w:tcPr>
          <w:p>
            <w:r>
              <w:rPr>
                <w:rFonts w:ascii="宋体" w:hAnsi="宋体" w:eastAsia="宋体"/>
                <w:sz w:val="18"/>
              </w:rPr>
            </w:r>
            <w:r>
              <w:rPr>
                <w:rFonts w:ascii="宋体" w:hAnsi="宋体" w:eastAsia="宋体"/>
                <w:b w:val="0"/>
                <w:sz w:val="18"/>
              </w:rPr>
              <w:t>数据集</w:t>
            </w:r>
          </w:p>
        </w:tc>
        <w:tc>
          <w:tcPr>
            <w:tcW w:type="dxa" w:w="4896"/>
          </w:tcPr>
          <w:p>
            <w:r>
              <w:rPr>
                <w:rFonts w:ascii="宋体" w:hAnsi="宋体" w:eastAsia="宋体"/>
                <w:sz w:val="18"/>
              </w:rPr>
            </w:r>
            <w:r>
              <w:rPr>
                <w:rFonts w:ascii="宋体" w:hAnsi="宋体" w:eastAsia="宋体"/>
                <w:b w:val="0"/>
                <w:sz w:val="18"/>
              </w:rPr>
              <w:t>data_random_quality_filtered</w:t>
            </w:r>
          </w:p>
        </w:tc>
      </w:tr>
      <w:tr>
        <w:tc>
          <w:tcPr>
            <w:tcW w:type="dxa" w:w="4896"/>
          </w:tcPr>
          <w:p>
            <w:r>
              <w:rPr>
                <w:rFonts w:ascii="宋体" w:hAnsi="宋体" w:eastAsia="宋体"/>
                <w:sz w:val="18"/>
              </w:rPr>
            </w:r>
            <w:r>
              <w:rPr>
                <w:rFonts w:ascii="宋体" w:hAnsi="宋体" w:eastAsia="宋体"/>
                <w:b w:val="0"/>
                <w:sz w:val="18"/>
              </w:rPr>
              <w:t>训练/测试样本</w:t>
            </w:r>
          </w:p>
        </w:tc>
        <w:tc>
          <w:tcPr>
            <w:tcW w:type="dxa" w:w="4896"/>
          </w:tcPr>
          <w:p>
            <w:r>
              <w:rPr>
                <w:rFonts w:ascii="宋体" w:hAnsi="宋体" w:eastAsia="宋体"/>
                <w:sz w:val="18"/>
              </w:rPr>
            </w:r>
            <w:r>
              <w:rPr>
                <w:rFonts w:ascii="宋体" w:hAnsi="宋体" w:eastAsia="宋体"/>
                <w:b w:val="0"/>
                <w:sz w:val="18"/>
              </w:rPr>
              <w:t>1599 / 400</w:t>
            </w:r>
          </w:p>
        </w:tc>
      </w:tr>
      <w:tr>
        <w:tc>
          <w:tcPr>
            <w:tcW w:type="dxa" w:w="4896"/>
          </w:tcPr>
          <w:p>
            <w:r>
              <w:rPr>
                <w:rFonts w:ascii="宋体" w:hAnsi="宋体" w:eastAsia="宋体"/>
                <w:sz w:val="18"/>
              </w:rPr>
            </w:r>
            <w:r>
              <w:rPr>
                <w:rFonts w:ascii="宋体" w:hAnsi="宋体" w:eastAsia="宋体"/>
                <w:b w:val="0"/>
                <w:sz w:val="18"/>
              </w:rPr>
              <w:t>响应目标</w:t>
            </w:r>
          </w:p>
        </w:tc>
        <w:tc>
          <w:tcPr>
            <w:tcW w:type="dxa" w:w="4896"/>
          </w:tcPr>
          <w:p>
            <w:r>
              <w:rPr>
                <w:rFonts w:ascii="宋体" w:hAnsi="宋体" w:eastAsia="宋体"/>
                <w:sz w:val="18"/>
              </w:rPr>
            </w:r>
            <w:r>
              <w:rPr>
                <w:rFonts w:ascii="宋体" w:hAnsi="宋体" w:eastAsia="宋体"/>
                <w:b w:val="0"/>
                <w:sz w:val="18"/>
              </w:rPr>
              <w:t>6 工况 x 80 步 x 2 通道(displacement, force)</w:t>
            </w:r>
          </w:p>
        </w:tc>
      </w:tr>
      <w:tr>
        <w:tc>
          <w:tcPr>
            <w:tcW w:type="dxa" w:w="4896"/>
          </w:tcPr>
          <w:p>
            <w:r>
              <w:rPr>
                <w:rFonts w:ascii="宋体" w:hAnsi="宋体" w:eastAsia="宋体"/>
                <w:sz w:val="18"/>
              </w:rPr>
            </w:r>
            <w:r>
              <w:rPr>
                <w:rFonts w:ascii="宋体" w:hAnsi="宋体" w:eastAsia="宋体"/>
                <w:b w:val="0"/>
                <w:sz w:val="18"/>
              </w:rPr>
              <w:t>材料模型</w:t>
            </w:r>
          </w:p>
        </w:tc>
        <w:tc>
          <w:tcPr>
            <w:tcW w:type="dxa" w:w="4896"/>
          </w:tcPr>
          <w:p>
            <w:r>
              <w:rPr>
                <w:rFonts w:ascii="宋体" w:hAnsi="宋体" w:eastAsia="宋体"/>
                <w:sz w:val="18"/>
              </w:rPr>
            </w:r>
            <w:r>
              <w:rPr>
                <w:rFonts w:ascii="宋体" w:hAnsi="宋体" w:eastAsia="宋体"/>
                <w:b w:val="0"/>
                <w:sz w:val="18"/>
              </w:rPr>
              <w:t>折痕/面板分区等效线弹性参数; nu=0.3, rho=1200 kg/m3</w:t>
            </w:r>
          </w:p>
        </w:tc>
      </w:tr>
      <w:tr>
        <w:tc>
          <w:tcPr>
            <w:tcW w:type="dxa" w:w="4896"/>
          </w:tcPr>
          <w:p>
            <w:r>
              <w:rPr>
                <w:rFonts w:ascii="宋体" w:hAnsi="宋体" w:eastAsia="宋体"/>
                <w:sz w:val="18"/>
              </w:rPr>
            </w:r>
            <w:r>
              <w:rPr>
                <w:rFonts w:ascii="宋体" w:hAnsi="宋体" w:eastAsia="宋体"/>
                <w:b w:val="0"/>
                <w:sz w:val="18"/>
              </w:rPr>
              <w:t>正向模型</w:t>
            </w:r>
          </w:p>
        </w:tc>
        <w:tc>
          <w:tcPr>
            <w:tcW w:type="dxa" w:w="4896"/>
          </w:tcPr>
          <w:p>
            <w:r>
              <w:rPr>
                <w:rFonts w:ascii="宋体" w:hAnsi="宋体" w:eastAsia="宋体"/>
                <w:sz w:val="18"/>
              </w:rPr>
            </w:r>
            <w:r>
              <w:rPr>
                <w:rFonts w:ascii="宋体" w:hAnsi="宋体" w:eastAsia="宋体"/>
                <w:b w:val="0"/>
                <w:sz w:val="18"/>
              </w:rPr>
              <w:t>GNN-Transformer, 50 epochs</w:t>
            </w:r>
          </w:p>
        </w:tc>
      </w:tr>
      <w:tr>
        <w:tc>
          <w:tcPr>
            <w:tcW w:type="dxa" w:w="4896"/>
          </w:tcPr>
          <w:p>
            <w:r>
              <w:rPr>
                <w:rFonts w:ascii="宋体" w:hAnsi="宋体" w:eastAsia="宋体"/>
                <w:sz w:val="18"/>
              </w:rPr>
            </w:r>
            <w:r>
              <w:rPr>
                <w:rFonts w:ascii="宋体" w:hAnsi="宋体" w:eastAsia="宋体"/>
                <w:b w:val="0"/>
                <w:sz w:val="18"/>
              </w:rPr>
              <w:t>后向模型</w:t>
            </w:r>
          </w:p>
        </w:tc>
        <w:tc>
          <w:tcPr>
            <w:tcW w:type="dxa" w:w="4896"/>
          </w:tcPr>
          <w:p>
            <w:r>
              <w:rPr>
                <w:rFonts w:ascii="宋体" w:hAnsi="宋体" w:eastAsia="宋体"/>
                <w:sz w:val="18"/>
              </w:rPr>
            </w:r>
            <w:r>
              <w:rPr>
                <w:rFonts w:ascii="宋体" w:hAnsi="宋体" w:eastAsia="宋体"/>
                <w:b w:val="0"/>
                <w:sz w:val="18"/>
              </w:rPr>
              <w:t>Conditional diffusion, 150 epochs, 每目标 16 个候选</w:t>
            </w:r>
          </w:p>
        </w:tc>
      </w:tr>
      <w:tr>
        <w:tc>
          <w:tcPr>
            <w:tcW w:type="dxa" w:w="4896"/>
          </w:tcPr>
          <w:p>
            <w:r>
              <w:rPr>
                <w:rFonts w:ascii="宋体" w:hAnsi="宋体" w:eastAsia="宋体"/>
                <w:sz w:val="18"/>
              </w:rPr>
            </w:r>
            <w:r>
              <w:rPr>
                <w:rFonts w:ascii="宋体" w:hAnsi="宋体" w:eastAsia="宋体"/>
                <w:b w:val="0"/>
                <w:sz w:val="18"/>
              </w:rPr>
              <w:t>真实验证</w:t>
            </w:r>
          </w:p>
        </w:tc>
        <w:tc>
          <w:tcPr>
            <w:tcW w:type="dxa" w:w="4896"/>
          </w:tcPr>
          <w:p>
            <w:r>
              <w:rPr>
                <w:rFonts w:ascii="宋体" w:hAnsi="宋体" w:eastAsia="宋体"/>
                <w:sz w:val="18"/>
              </w:rPr>
            </w:r>
            <w:r>
              <w:rPr>
                <w:rFonts w:ascii="宋体" w:hAnsi="宋体" w:eastAsia="宋体"/>
                <w:b w:val="0"/>
                <w:sz w:val="18"/>
              </w:rPr>
              <w:t>top-10 生成参数, 小载荷刚度估计 + 80 点 nonlinear SWOMPS</w:t>
            </w:r>
          </w:p>
        </w:tc>
      </w:tr>
    </w:tbl>
    <w:p/>
    <w:p>
      <w:pPr>
        <w:jc w:val="center"/>
      </w:pPr>
      <w:r>
        <w:rPr>
          <w:rFonts w:ascii="宋体" w:hAnsi="宋体" w:eastAsia="宋体"/>
          <w:i/>
          <w:sz w:val="18"/>
        </w:rPr>
        <w:t>表 4 主要预测与验证结果</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宋体" w:hAnsi="宋体" w:eastAsia="宋体"/>
                <w:sz w:val="18"/>
              </w:rPr>
            </w:r>
            <w:r>
              <w:rPr>
                <w:rFonts w:ascii="宋体" w:hAnsi="宋体" w:eastAsia="宋体"/>
                <w:b/>
                <w:sz w:val="18"/>
              </w:rPr>
              <w:t>阶段</w:t>
            </w:r>
          </w:p>
        </w:tc>
        <w:tc>
          <w:tcPr>
            <w:tcW w:type="dxa" w:w="2448"/>
          </w:tcPr>
          <w:p>
            <w:r>
              <w:rPr>
                <w:rFonts w:ascii="宋体" w:hAnsi="宋体" w:eastAsia="宋体"/>
                <w:sz w:val="18"/>
              </w:rPr>
            </w:r>
            <w:r>
              <w:rPr>
                <w:rFonts w:ascii="宋体" w:hAnsi="宋体" w:eastAsia="宋体"/>
                <w:b/>
                <w:sz w:val="18"/>
              </w:rPr>
              <w:t>位移 std-NRMSE</w:t>
            </w:r>
          </w:p>
        </w:tc>
        <w:tc>
          <w:tcPr>
            <w:tcW w:type="dxa" w:w="2448"/>
          </w:tcPr>
          <w:p>
            <w:r>
              <w:rPr>
                <w:rFonts w:ascii="宋体" w:hAnsi="宋体" w:eastAsia="宋体"/>
                <w:sz w:val="18"/>
              </w:rPr>
            </w:r>
            <w:r>
              <w:rPr>
                <w:rFonts w:ascii="宋体" w:hAnsi="宋体" w:eastAsia="宋体"/>
                <w:b/>
                <w:sz w:val="18"/>
              </w:rPr>
              <w:t>力 std-NRMSE</w:t>
            </w:r>
          </w:p>
        </w:tc>
        <w:tc>
          <w:tcPr>
            <w:tcW w:type="dxa" w:w="2448"/>
          </w:tcPr>
          <w:p>
            <w:r>
              <w:rPr>
                <w:rFonts w:ascii="宋体" w:hAnsi="宋体" w:eastAsia="宋体"/>
                <w:sz w:val="18"/>
              </w:rPr>
            </w:r>
            <w:r>
              <w:rPr>
                <w:rFonts w:ascii="宋体" w:hAnsi="宋体" w:eastAsia="宋体"/>
                <w:b/>
                <w:sz w:val="18"/>
              </w:rPr>
              <w:t>补充指标</w:t>
            </w:r>
          </w:p>
        </w:tc>
      </w:tr>
      <w:tr>
        <w:tc>
          <w:tcPr>
            <w:tcW w:type="dxa" w:w="2448"/>
          </w:tcPr>
          <w:p>
            <w:r>
              <w:rPr>
                <w:rFonts w:ascii="宋体" w:hAnsi="宋体" w:eastAsia="宋体"/>
                <w:sz w:val="18"/>
              </w:rPr>
            </w:r>
            <w:r>
              <w:rPr>
                <w:rFonts w:ascii="宋体" w:hAnsi="宋体" w:eastAsia="宋体"/>
                <w:b w:val="0"/>
                <w:sz w:val="18"/>
              </w:rPr>
              <w:t>正向代理模型</w:t>
            </w:r>
          </w:p>
        </w:tc>
        <w:tc>
          <w:tcPr>
            <w:tcW w:type="dxa" w:w="2448"/>
          </w:tcPr>
          <w:p>
            <w:r>
              <w:rPr>
                <w:rFonts w:ascii="宋体" w:hAnsi="宋体" w:eastAsia="宋体"/>
                <w:sz w:val="18"/>
              </w:rPr>
            </w:r>
            <w:r>
              <w:rPr>
                <w:rFonts w:ascii="宋体" w:hAnsi="宋体" w:eastAsia="宋体"/>
                <w:b w:val="0"/>
                <w:sz w:val="18"/>
              </w:rPr>
              <w:t>3.86%</w:t>
            </w:r>
          </w:p>
        </w:tc>
        <w:tc>
          <w:tcPr>
            <w:tcW w:type="dxa" w:w="2448"/>
          </w:tcPr>
          <w:p>
            <w:r>
              <w:rPr>
                <w:rFonts w:ascii="宋体" w:hAnsi="宋体" w:eastAsia="宋体"/>
                <w:sz w:val="18"/>
              </w:rPr>
            </w:r>
            <w:r>
              <w:rPr>
                <w:rFonts w:ascii="宋体" w:hAnsi="宋体" w:eastAsia="宋体"/>
                <w:b w:val="0"/>
                <w:sz w:val="18"/>
              </w:rPr>
              <w:t>4.33%</w:t>
            </w:r>
          </w:p>
        </w:tc>
        <w:tc>
          <w:tcPr>
            <w:tcW w:type="dxa" w:w="2448"/>
          </w:tcPr>
          <w:p>
            <w:r>
              <w:rPr>
                <w:rFonts w:ascii="宋体" w:hAnsi="宋体" w:eastAsia="宋体"/>
                <w:sz w:val="18"/>
              </w:rPr>
            </w:r>
            <w:r>
              <w:rPr>
                <w:rFonts w:ascii="宋体" w:hAnsi="宋体" w:eastAsia="宋体"/>
                <w:b w:val="0"/>
                <w:sz w:val="18"/>
              </w:rPr>
              <w:t>best epoch 48</w:t>
            </w:r>
          </w:p>
        </w:tc>
      </w:tr>
      <w:tr>
        <w:tc>
          <w:tcPr>
            <w:tcW w:type="dxa" w:w="2448"/>
          </w:tcPr>
          <w:p>
            <w:r>
              <w:rPr>
                <w:rFonts w:ascii="宋体" w:hAnsi="宋体" w:eastAsia="宋体"/>
                <w:sz w:val="18"/>
              </w:rPr>
            </w:r>
            <w:r>
              <w:rPr>
                <w:rFonts w:ascii="宋体" w:hAnsi="宋体" w:eastAsia="宋体"/>
                <w:b w:val="0"/>
                <w:sz w:val="18"/>
              </w:rPr>
              <w:t>后向模型-前向代理闭环</w:t>
            </w:r>
          </w:p>
        </w:tc>
        <w:tc>
          <w:tcPr>
            <w:tcW w:type="dxa" w:w="2448"/>
          </w:tcPr>
          <w:p>
            <w:r>
              <w:rPr>
                <w:rFonts w:ascii="宋体" w:hAnsi="宋体" w:eastAsia="宋体"/>
                <w:sz w:val="18"/>
              </w:rPr>
            </w:r>
            <w:r>
              <w:rPr>
                <w:rFonts w:ascii="宋体" w:hAnsi="宋体" w:eastAsia="宋体"/>
                <w:b w:val="0"/>
                <w:sz w:val="18"/>
              </w:rPr>
              <w:t>4.44%</w:t>
            </w:r>
          </w:p>
        </w:tc>
        <w:tc>
          <w:tcPr>
            <w:tcW w:type="dxa" w:w="2448"/>
          </w:tcPr>
          <w:p>
            <w:r>
              <w:rPr>
                <w:rFonts w:ascii="宋体" w:hAnsi="宋体" w:eastAsia="宋体"/>
                <w:sz w:val="18"/>
              </w:rPr>
            </w:r>
            <w:r>
              <w:rPr>
                <w:rFonts w:ascii="宋体" w:hAnsi="宋体" w:eastAsia="宋体"/>
                <w:b w:val="0"/>
                <w:sz w:val="18"/>
              </w:rPr>
              <w:t>5.15%</w:t>
            </w:r>
          </w:p>
        </w:tc>
        <w:tc>
          <w:tcPr>
            <w:tcW w:type="dxa" w:w="2448"/>
          </w:tcPr>
          <w:p>
            <w:r>
              <w:rPr>
                <w:rFonts w:ascii="宋体" w:hAnsi="宋体" w:eastAsia="宋体"/>
                <w:sz w:val="18"/>
              </w:rPr>
            </w:r>
            <w:r>
              <w:rPr>
                <w:rFonts w:ascii="宋体" w:hAnsi="宋体" w:eastAsia="宋体"/>
                <w:b w:val="0"/>
                <w:sz w:val="18"/>
              </w:rPr>
              <w:t>负力点比例 3.80%</w:t>
            </w:r>
          </w:p>
        </w:tc>
      </w:tr>
      <w:tr>
        <w:tc>
          <w:tcPr>
            <w:tcW w:type="dxa" w:w="2448"/>
          </w:tcPr>
          <w:p>
            <w:r>
              <w:rPr>
                <w:rFonts w:ascii="宋体" w:hAnsi="宋体" w:eastAsia="宋体"/>
                <w:sz w:val="18"/>
              </w:rPr>
            </w:r>
            <w:r>
              <w:rPr>
                <w:rFonts w:ascii="宋体" w:hAnsi="宋体" w:eastAsia="宋体"/>
                <w:b w:val="0"/>
                <w:sz w:val="18"/>
              </w:rPr>
              <w:t>后向生成参数-真实 SWOMPS 验证(top-10 mean)</w:t>
            </w:r>
          </w:p>
        </w:tc>
        <w:tc>
          <w:tcPr>
            <w:tcW w:type="dxa" w:w="2448"/>
          </w:tcPr>
          <w:p>
            <w:r>
              <w:rPr>
                <w:rFonts w:ascii="宋体" w:hAnsi="宋体" w:eastAsia="宋体"/>
                <w:sz w:val="18"/>
              </w:rPr>
            </w:r>
            <w:r>
              <w:rPr>
                <w:rFonts w:ascii="宋体" w:hAnsi="宋体" w:eastAsia="宋体"/>
                <w:b w:val="0"/>
                <w:sz w:val="18"/>
              </w:rPr>
              <w:t>1.00%</w:t>
            </w:r>
          </w:p>
        </w:tc>
        <w:tc>
          <w:tcPr>
            <w:tcW w:type="dxa" w:w="2448"/>
          </w:tcPr>
          <w:p>
            <w:r>
              <w:rPr>
                <w:rFonts w:ascii="宋体" w:hAnsi="宋体" w:eastAsia="宋体"/>
                <w:sz w:val="18"/>
              </w:rPr>
            </w:r>
            <w:r>
              <w:rPr>
                <w:rFonts w:ascii="宋体" w:hAnsi="宋体" w:eastAsia="宋体"/>
                <w:b w:val="0"/>
                <w:sz w:val="18"/>
              </w:rPr>
              <w:t>3.33%</w:t>
            </w:r>
          </w:p>
        </w:tc>
        <w:tc>
          <w:tcPr>
            <w:tcW w:type="dxa" w:w="2448"/>
          </w:tcPr>
          <w:p>
            <w:r>
              <w:rPr>
                <w:rFonts w:ascii="宋体" w:hAnsi="宋体" w:eastAsia="宋体"/>
                <w:sz w:val="18"/>
              </w:rPr>
            </w:r>
            <w:r>
              <w:rPr>
                <w:rFonts w:ascii="宋体" w:hAnsi="宋体" w:eastAsia="宋体"/>
                <w:b w:val="0"/>
                <w:sz w:val="18"/>
              </w:rPr>
              <w:t>收敛率 100%, 负力/负位移 0</w:t>
            </w:r>
          </w:p>
        </w:tc>
      </w:tr>
      <w:tr>
        <w:tc>
          <w:tcPr>
            <w:tcW w:type="dxa" w:w="2448"/>
          </w:tcPr>
          <w:p>
            <w:r>
              <w:rPr>
                <w:rFonts w:ascii="宋体" w:hAnsi="宋体" w:eastAsia="宋体"/>
                <w:sz w:val="18"/>
              </w:rPr>
            </w:r>
            <w:r>
              <w:rPr>
                <w:rFonts w:ascii="宋体" w:hAnsi="宋体" w:eastAsia="宋体"/>
                <w:b w:val="0"/>
                <w:sz w:val="18"/>
              </w:rPr>
              <w:t>后向生成参数-真实 SWOMPS 验证(top-10 max)</w:t>
            </w:r>
          </w:p>
        </w:tc>
        <w:tc>
          <w:tcPr>
            <w:tcW w:type="dxa" w:w="2448"/>
          </w:tcPr>
          <w:p>
            <w:r>
              <w:rPr>
                <w:rFonts w:ascii="宋体" w:hAnsi="宋体" w:eastAsia="宋体"/>
                <w:sz w:val="18"/>
              </w:rPr>
            </w:r>
            <w:r>
              <w:rPr>
                <w:rFonts w:ascii="宋体" w:hAnsi="宋体" w:eastAsia="宋体"/>
                <w:b w:val="0"/>
                <w:sz w:val="18"/>
              </w:rPr>
              <w:t>3.31%</w:t>
            </w:r>
          </w:p>
        </w:tc>
        <w:tc>
          <w:tcPr>
            <w:tcW w:type="dxa" w:w="2448"/>
          </w:tcPr>
          <w:p>
            <w:r>
              <w:rPr>
                <w:rFonts w:ascii="宋体" w:hAnsi="宋体" w:eastAsia="宋体"/>
                <w:sz w:val="18"/>
              </w:rPr>
            </w:r>
            <w:r>
              <w:rPr>
                <w:rFonts w:ascii="宋体" w:hAnsi="宋体" w:eastAsia="宋体"/>
                <w:b w:val="0"/>
                <w:sz w:val="18"/>
              </w:rPr>
              <w:t>9.09%</w:t>
            </w:r>
          </w:p>
        </w:tc>
        <w:tc>
          <w:tcPr>
            <w:tcW w:type="dxa" w:w="2448"/>
          </w:tcPr>
          <w:p>
            <w:r>
              <w:rPr>
                <w:rFonts w:ascii="宋体" w:hAnsi="宋体" w:eastAsia="宋体"/>
                <w:sz w:val="18"/>
              </w:rPr>
            </w:r>
            <w:r>
              <w:rPr>
                <w:rFonts w:ascii="宋体" w:hAnsi="宋体" w:eastAsia="宋体"/>
                <w:b w:val="0"/>
                <w:sz w:val="18"/>
              </w:rPr>
              <w:t>最大误差来自 rank 7</w:t>
            </w:r>
          </w:p>
        </w:tc>
      </w:tr>
    </w:tbl>
    <w:p/>
    <w:p>
      <w:pPr>
        <w:jc w:val="center"/>
      </w:pPr>
      <w:r>
        <w:drawing>
          <wp:inline xmlns:a="http://schemas.openxmlformats.org/drawingml/2006/main" xmlns:pic="http://schemas.openxmlformats.org/drawingml/2006/picture">
            <wp:extent cx="5120640" cy="1536192"/>
            <wp:docPr id="2" name="Picture 2"/>
            <wp:cNvGraphicFramePr>
              <a:graphicFrameLocks noChangeAspect="1"/>
            </wp:cNvGraphicFramePr>
            <a:graphic>
              <a:graphicData uri="http://schemas.openxmlformats.org/drawingml/2006/picture">
                <pic:pic>
                  <pic:nvPicPr>
                    <pic:cNvPr id="0" name="training_loss_curves.png"/>
                    <pic:cNvPicPr/>
                  </pic:nvPicPr>
                  <pic:blipFill>
                    <a:blip r:embed="rId11"/>
                    <a:stretch>
                      <a:fillRect/>
                    </a:stretch>
                  </pic:blipFill>
                  <pic:spPr>
                    <a:xfrm>
                      <a:off x="0" y="0"/>
                      <a:ext cx="5120640" cy="1536192"/>
                    </a:xfrm>
                    <a:prstGeom prst="rect"/>
                  </pic:spPr>
                </pic:pic>
              </a:graphicData>
            </a:graphic>
          </wp:inline>
        </w:drawing>
      </w:r>
    </w:p>
    <w:p>
      <w:pPr>
        <w:jc w:val="center"/>
      </w:pPr>
      <w:r>
        <w:rPr>
          <w:rFonts w:ascii="宋体" w:hAnsi="宋体" w:eastAsia="宋体"/>
          <w:i/>
          <w:sz w:val="18"/>
        </w:rPr>
        <w:t>图 2 正向 GNN-Transformer 训练曲线。</w:t>
      </w:r>
    </w:p>
    <w:p>
      <w:pPr>
        <w:jc w:val="center"/>
      </w:pPr>
      <w:r>
        <w:drawing>
          <wp:inline xmlns:a="http://schemas.openxmlformats.org/drawingml/2006/main" xmlns:pic="http://schemas.openxmlformats.org/drawingml/2006/picture">
            <wp:extent cx="5120640" cy="3233900"/>
            <wp:docPr id="3" name="Picture 3"/>
            <wp:cNvGraphicFramePr>
              <a:graphicFrameLocks noChangeAspect="1"/>
            </wp:cNvGraphicFramePr>
            <a:graphic>
              <a:graphicData uri="http://schemas.openxmlformats.org/drawingml/2006/picture">
                <pic:pic>
                  <pic:nvPicPr>
                    <pic:cNvPr id="0" name="closed_loop_nrmse.png"/>
                    <pic:cNvPicPr/>
                  </pic:nvPicPr>
                  <pic:blipFill>
                    <a:blip r:embed="rId12"/>
                    <a:stretch>
                      <a:fillRect/>
                    </a:stretch>
                  </pic:blipFill>
                  <pic:spPr>
                    <a:xfrm>
                      <a:off x="0" y="0"/>
                      <a:ext cx="5120640" cy="3233900"/>
                    </a:xfrm>
                    <a:prstGeom prst="rect"/>
                  </pic:spPr>
                </pic:pic>
              </a:graphicData>
            </a:graphic>
          </wp:inline>
        </w:drawing>
      </w:r>
    </w:p>
    <w:p>
      <w:pPr>
        <w:jc w:val="center"/>
      </w:pPr>
      <w:r>
        <w:rPr>
          <w:rFonts w:ascii="宋体" w:hAnsi="宋体" w:eastAsia="宋体"/>
          <w:i/>
          <w:sz w:val="18"/>
        </w:rPr>
        <w:t>图 3 后向 diffusion 通过前向代理模型得到的闭环误差。</w:t>
      </w:r>
    </w:p>
    <w:p>
      <w:pPr>
        <w:jc w:val="center"/>
      </w:pPr>
      <w:r>
        <w:drawing>
          <wp:inline xmlns:a="http://schemas.openxmlformats.org/drawingml/2006/main" xmlns:pic="http://schemas.openxmlformats.org/drawingml/2006/picture">
            <wp:extent cx="5303520" cy="3212175"/>
            <wp:docPr id="4" name="Picture 4"/>
            <wp:cNvGraphicFramePr>
              <a:graphicFrameLocks noChangeAspect="1"/>
            </wp:cNvGraphicFramePr>
            <a:graphic>
              <a:graphicData uri="http://schemas.openxmlformats.org/drawingml/2006/picture">
                <pic:pic>
                  <pic:nvPicPr>
                    <pic:cNvPr id="0" name="swomps_validation_nrmse.png"/>
                    <pic:cNvPicPr/>
                  </pic:nvPicPr>
                  <pic:blipFill>
                    <a:blip r:embed="rId13"/>
                    <a:stretch>
                      <a:fillRect/>
                    </a:stretch>
                  </pic:blipFill>
                  <pic:spPr>
                    <a:xfrm>
                      <a:off x="0" y="0"/>
                      <a:ext cx="5303520" cy="3212175"/>
                    </a:xfrm>
                    <a:prstGeom prst="rect"/>
                  </pic:spPr>
                </pic:pic>
              </a:graphicData>
            </a:graphic>
          </wp:inline>
        </w:drawing>
      </w:r>
    </w:p>
    <w:p>
      <w:pPr>
        <w:jc w:val="center"/>
      </w:pPr>
      <w:r>
        <w:rPr>
          <w:rFonts w:ascii="宋体" w:hAnsi="宋体" w:eastAsia="宋体"/>
          <w:i/>
          <w:sz w:val="18"/>
        </w:rPr>
        <w:t>图 4 top-10 生成参数回到 SWOMPS 后的真实仿真验证误差。</w:t>
      </w:r>
    </w:p>
    <w:p>
      <w:pPr>
        <w:jc w:val="center"/>
      </w:pPr>
      <w:r>
        <w:rPr>
          <w:rFonts w:ascii="宋体" w:hAnsi="宋体" w:eastAsia="宋体"/>
          <w:i/>
          <w:sz w:val="18"/>
        </w:rPr>
        <w:t>表 5 top-10 生成参数真实 SWOMPS 验证明细</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rFonts w:ascii="宋体" w:hAnsi="宋体" w:eastAsia="宋体"/>
                <w:sz w:val="18"/>
              </w:rPr>
            </w:r>
            <w:r>
              <w:rPr>
                <w:rFonts w:ascii="宋体" w:hAnsi="宋体" w:eastAsia="宋体"/>
                <w:b/>
                <w:sz w:val="18"/>
              </w:rPr>
              <w:t>rank</w:t>
            </w:r>
          </w:p>
        </w:tc>
        <w:tc>
          <w:tcPr>
            <w:tcW w:type="dxa" w:w="1632"/>
          </w:tcPr>
          <w:p>
            <w:r>
              <w:rPr>
                <w:rFonts w:ascii="宋体" w:hAnsi="宋体" w:eastAsia="宋体"/>
                <w:sz w:val="18"/>
              </w:rPr>
            </w:r>
            <w:r>
              <w:rPr>
                <w:rFonts w:ascii="宋体" w:hAnsi="宋体" w:eastAsia="宋体"/>
                <w:b/>
                <w:sz w:val="18"/>
              </w:rPr>
              <w:t>目标样本</w:t>
            </w:r>
          </w:p>
        </w:tc>
        <w:tc>
          <w:tcPr>
            <w:tcW w:type="dxa" w:w="1632"/>
          </w:tcPr>
          <w:p>
            <w:r>
              <w:rPr>
                <w:rFonts w:ascii="宋体" w:hAnsi="宋体" w:eastAsia="宋体"/>
                <w:sz w:val="18"/>
              </w:rPr>
            </w:r>
            <w:r>
              <w:rPr>
                <w:rFonts w:ascii="宋体" w:hAnsi="宋体" w:eastAsia="宋体"/>
                <w:b/>
                <w:sz w:val="18"/>
              </w:rPr>
              <w:t>验证样本</w:t>
            </w:r>
          </w:p>
        </w:tc>
        <w:tc>
          <w:tcPr>
            <w:tcW w:type="dxa" w:w="1632"/>
          </w:tcPr>
          <w:p>
            <w:r>
              <w:rPr>
                <w:rFonts w:ascii="宋体" w:hAnsi="宋体" w:eastAsia="宋体"/>
                <w:sz w:val="18"/>
              </w:rPr>
            </w:r>
            <w:r>
              <w:rPr>
                <w:rFonts w:ascii="宋体" w:hAnsi="宋体" w:eastAsia="宋体"/>
                <w:b/>
                <w:sz w:val="18"/>
              </w:rPr>
              <w:t>代理闭环 MSE</w:t>
            </w:r>
          </w:p>
        </w:tc>
        <w:tc>
          <w:tcPr>
            <w:tcW w:type="dxa" w:w="1632"/>
          </w:tcPr>
          <w:p>
            <w:r>
              <w:rPr>
                <w:rFonts w:ascii="宋体" w:hAnsi="宋体" w:eastAsia="宋体"/>
                <w:sz w:val="18"/>
              </w:rPr>
            </w:r>
            <w:r>
              <w:rPr>
                <w:rFonts w:ascii="宋体" w:hAnsi="宋体" w:eastAsia="宋体"/>
                <w:b/>
                <w:sz w:val="18"/>
              </w:rPr>
              <w:t>真实位移 std-NRMSE</w:t>
            </w:r>
          </w:p>
        </w:tc>
        <w:tc>
          <w:tcPr>
            <w:tcW w:type="dxa" w:w="1632"/>
          </w:tcPr>
          <w:p>
            <w:r>
              <w:rPr>
                <w:rFonts w:ascii="宋体" w:hAnsi="宋体" w:eastAsia="宋体"/>
                <w:sz w:val="18"/>
              </w:rPr>
            </w:r>
            <w:r>
              <w:rPr>
                <w:rFonts w:ascii="宋体" w:hAnsi="宋体" w:eastAsia="宋体"/>
                <w:b/>
                <w:sz w:val="18"/>
              </w:rPr>
              <w:t>真实力 std-NRMSE</w:t>
            </w:r>
          </w:p>
        </w:tc>
      </w:tr>
      <w:tr>
        <w:tc>
          <w:tcPr>
            <w:tcW w:type="dxa" w:w="1632"/>
          </w:tcPr>
          <w:p>
            <w:r>
              <w:rPr>
                <w:rFonts w:ascii="宋体" w:hAnsi="宋体" w:eastAsia="宋体"/>
                <w:sz w:val="18"/>
              </w:rPr>
            </w:r>
            <w:r>
              <w:rPr>
                <w:rFonts w:ascii="宋体" w:hAnsi="宋体" w:eastAsia="宋体"/>
                <w:b w:val="0"/>
                <w:sz w:val="18"/>
              </w:rPr>
              <w:t>1</w:t>
            </w:r>
          </w:p>
        </w:tc>
        <w:tc>
          <w:tcPr>
            <w:tcW w:type="dxa" w:w="1632"/>
          </w:tcPr>
          <w:p>
            <w:r>
              <w:rPr>
                <w:rFonts w:ascii="宋体" w:hAnsi="宋体" w:eastAsia="宋体"/>
                <w:sz w:val="18"/>
              </w:rPr>
            </w:r>
            <w:r>
              <w:rPr>
                <w:rFonts w:ascii="宋体" w:hAnsi="宋体" w:eastAsia="宋体"/>
                <w:b w:val="0"/>
                <w:sz w:val="18"/>
              </w:rPr>
              <w:t>miura_00074</w:t>
            </w:r>
          </w:p>
        </w:tc>
        <w:tc>
          <w:tcPr>
            <w:tcW w:type="dxa" w:w="1632"/>
          </w:tcPr>
          <w:p>
            <w:r>
              <w:rPr>
                <w:rFonts w:ascii="宋体" w:hAnsi="宋体" w:eastAsia="宋体"/>
                <w:sz w:val="18"/>
              </w:rPr>
            </w:r>
            <w:r>
              <w:rPr>
                <w:rFonts w:ascii="宋体" w:hAnsi="宋体" w:eastAsia="宋体"/>
                <w:b w:val="0"/>
                <w:sz w:val="18"/>
              </w:rPr>
              <w:t>invval_0001_miura_00074</w:t>
            </w:r>
          </w:p>
        </w:tc>
        <w:tc>
          <w:tcPr>
            <w:tcW w:type="dxa" w:w="1632"/>
          </w:tcPr>
          <w:p>
            <w:r>
              <w:rPr>
                <w:rFonts w:ascii="宋体" w:hAnsi="宋体" w:eastAsia="宋体"/>
                <w:sz w:val="18"/>
              </w:rPr>
            </w:r>
            <w:r>
              <w:rPr>
                <w:rFonts w:ascii="宋体" w:hAnsi="宋体" w:eastAsia="宋体"/>
                <w:b w:val="0"/>
                <w:sz w:val="18"/>
              </w:rPr>
              <w:t>1.945e-04</w:t>
            </w:r>
          </w:p>
        </w:tc>
        <w:tc>
          <w:tcPr>
            <w:tcW w:type="dxa" w:w="1632"/>
          </w:tcPr>
          <w:p>
            <w:r>
              <w:rPr>
                <w:rFonts w:ascii="宋体" w:hAnsi="宋体" w:eastAsia="宋体"/>
                <w:sz w:val="18"/>
              </w:rPr>
            </w:r>
            <w:r>
              <w:rPr>
                <w:rFonts w:ascii="宋体" w:hAnsi="宋体" w:eastAsia="宋体"/>
                <w:b w:val="0"/>
                <w:sz w:val="18"/>
              </w:rPr>
              <w:t>0.53%</w:t>
            </w:r>
          </w:p>
        </w:tc>
        <w:tc>
          <w:tcPr>
            <w:tcW w:type="dxa" w:w="1632"/>
          </w:tcPr>
          <w:p>
            <w:r>
              <w:rPr>
                <w:rFonts w:ascii="宋体" w:hAnsi="宋体" w:eastAsia="宋体"/>
                <w:sz w:val="18"/>
              </w:rPr>
            </w:r>
            <w:r>
              <w:rPr>
                <w:rFonts w:ascii="宋体" w:hAnsi="宋体" w:eastAsia="宋体"/>
                <w:b w:val="0"/>
                <w:sz w:val="18"/>
              </w:rPr>
              <w:t>1.92%</w:t>
            </w:r>
          </w:p>
        </w:tc>
      </w:tr>
      <w:tr>
        <w:tc>
          <w:tcPr>
            <w:tcW w:type="dxa" w:w="1632"/>
          </w:tcPr>
          <w:p>
            <w:r>
              <w:rPr>
                <w:rFonts w:ascii="宋体" w:hAnsi="宋体" w:eastAsia="宋体"/>
                <w:sz w:val="18"/>
              </w:rPr>
            </w:r>
            <w:r>
              <w:rPr>
                <w:rFonts w:ascii="宋体" w:hAnsi="宋体" w:eastAsia="宋体"/>
                <w:b w:val="0"/>
                <w:sz w:val="18"/>
              </w:rPr>
              <w:t>2</w:t>
            </w:r>
          </w:p>
        </w:tc>
        <w:tc>
          <w:tcPr>
            <w:tcW w:type="dxa" w:w="1632"/>
          </w:tcPr>
          <w:p>
            <w:r>
              <w:rPr>
                <w:rFonts w:ascii="宋体" w:hAnsi="宋体" w:eastAsia="宋体"/>
                <w:sz w:val="18"/>
              </w:rPr>
            </w:r>
            <w:r>
              <w:rPr>
                <w:rFonts w:ascii="宋体" w:hAnsi="宋体" w:eastAsia="宋体"/>
                <w:b w:val="0"/>
                <w:sz w:val="18"/>
              </w:rPr>
              <w:t>miura_00863</w:t>
            </w:r>
          </w:p>
        </w:tc>
        <w:tc>
          <w:tcPr>
            <w:tcW w:type="dxa" w:w="1632"/>
          </w:tcPr>
          <w:p>
            <w:r>
              <w:rPr>
                <w:rFonts w:ascii="宋体" w:hAnsi="宋体" w:eastAsia="宋体"/>
                <w:sz w:val="18"/>
              </w:rPr>
            </w:r>
            <w:r>
              <w:rPr>
                <w:rFonts w:ascii="宋体" w:hAnsi="宋体" w:eastAsia="宋体"/>
                <w:b w:val="0"/>
                <w:sz w:val="18"/>
              </w:rPr>
              <w:t>invval_0002_miura_00863</w:t>
            </w:r>
          </w:p>
        </w:tc>
        <w:tc>
          <w:tcPr>
            <w:tcW w:type="dxa" w:w="1632"/>
          </w:tcPr>
          <w:p>
            <w:r>
              <w:rPr>
                <w:rFonts w:ascii="宋体" w:hAnsi="宋体" w:eastAsia="宋体"/>
                <w:sz w:val="18"/>
              </w:rPr>
            </w:r>
            <w:r>
              <w:rPr>
                <w:rFonts w:ascii="宋体" w:hAnsi="宋体" w:eastAsia="宋体"/>
                <w:b w:val="0"/>
                <w:sz w:val="18"/>
              </w:rPr>
              <w:t>2.302e-04</w:t>
            </w:r>
          </w:p>
        </w:tc>
        <w:tc>
          <w:tcPr>
            <w:tcW w:type="dxa" w:w="1632"/>
          </w:tcPr>
          <w:p>
            <w:r>
              <w:rPr>
                <w:rFonts w:ascii="宋体" w:hAnsi="宋体" w:eastAsia="宋体"/>
                <w:sz w:val="18"/>
              </w:rPr>
            </w:r>
            <w:r>
              <w:rPr>
                <w:rFonts w:ascii="宋体" w:hAnsi="宋体" w:eastAsia="宋体"/>
                <w:b w:val="0"/>
                <w:sz w:val="18"/>
              </w:rPr>
              <w:t>0.16%</w:t>
            </w:r>
          </w:p>
        </w:tc>
        <w:tc>
          <w:tcPr>
            <w:tcW w:type="dxa" w:w="1632"/>
          </w:tcPr>
          <w:p>
            <w:r>
              <w:rPr>
                <w:rFonts w:ascii="宋体" w:hAnsi="宋体" w:eastAsia="宋体"/>
                <w:sz w:val="18"/>
              </w:rPr>
            </w:r>
            <w:r>
              <w:rPr>
                <w:rFonts w:ascii="宋体" w:hAnsi="宋体" w:eastAsia="宋体"/>
                <w:b w:val="0"/>
                <w:sz w:val="18"/>
              </w:rPr>
              <w:t>2.09%</w:t>
            </w:r>
          </w:p>
        </w:tc>
      </w:tr>
      <w:tr>
        <w:tc>
          <w:tcPr>
            <w:tcW w:type="dxa" w:w="1632"/>
          </w:tcPr>
          <w:p>
            <w:r>
              <w:rPr>
                <w:rFonts w:ascii="宋体" w:hAnsi="宋体" w:eastAsia="宋体"/>
                <w:sz w:val="18"/>
              </w:rPr>
            </w:r>
            <w:r>
              <w:rPr>
                <w:rFonts w:ascii="宋体" w:hAnsi="宋体" w:eastAsia="宋体"/>
                <w:b w:val="0"/>
                <w:sz w:val="18"/>
              </w:rPr>
              <w:t>3</w:t>
            </w:r>
          </w:p>
        </w:tc>
        <w:tc>
          <w:tcPr>
            <w:tcW w:type="dxa" w:w="1632"/>
          </w:tcPr>
          <w:p>
            <w:r>
              <w:rPr>
                <w:rFonts w:ascii="宋体" w:hAnsi="宋体" w:eastAsia="宋体"/>
                <w:sz w:val="18"/>
              </w:rPr>
            </w:r>
            <w:r>
              <w:rPr>
                <w:rFonts w:ascii="宋体" w:hAnsi="宋体" w:eastAsia="宋体"/>
                <w:b w:val="0"/>
                <w:sz w:val="18"/>
              </w:rPr>
              <w:t>miura_01477</w:t>
            </w:r>
          </w:p>
        </w:tc>
        <w:tc>
          <w:tcPr>
            <w:tcW w:type="dxa" w:w="1632"/>
          </w:tcPr>
          <w:p>
            <w:r>
              <w:rPr>
                <w:rFonts w:ascii="宋体" w:hAnsi="宋体" w:eastAsia="宋体"/>
                <w:sz w:val="18"/>
              </w:rPr>
            </w:r>
            <w:r>
              <w:rPr>
                <w:rFonts w:ascii="宋体" w:hAnsi="宋体" w:eastAsia="宋体"/>
                <w:b w:val="0"/>
                <w:sz w:val="18"/>
              </w:rPr>
              <w:t>invval_0003_miura_01477</w:t>
            </w:r>
          </w:p>
        </w:tc>
        <w:tc>
          <w:tcPr>
            <w:tcW w:type="dxa" w:w="1632"/>
          </w:tcPr>
          <w:p>
            <w:r>
              <w:rPr>
                <w:rFonts w:ascii="宋体" w:hAnsi="宋体" w:eastAsia="宋体"/>
                <w:sz w:val="18"/>
              </w:rPr>
            </w:r>
            <w:r>
              <w:rPr>
                <w:rFonts w:ascii="宋体" w:hAnsi="宋体" w:eastAsia="宋体"/>
                <w:b w:val="0"/>
                <w:sz w:val="18"/>
              </w:rPr>
              <w:t>2.312e-04</w:t>
            </w:r>
          </w:p>
        </w:tc>
        <w:tc>
          <w:tcPr>
            <w:tcW w:type="dxa" w:w="1632"/>
          </w:tcPr>
          <w:p>
            <w:r>
              <w:rPr>
                <w:rFonts w:ascii="宋体" w:hAnsi="宋体" w:eastAsia="宋体"/>
                <w:sz w:val="18"/>
              </w:rPr>
            </w:r>
            <w:r>
              <w:rPr>
                <w:rFonts w:ascii="宋体" w:hAnsi="宋体" w:eastAsia="宋体"/>
                <w:b w:val="0"/>
                <w:sz w:val="18"/>
              </w:rPr>
              <w:t>0.53%</w:t>
            </w:r>
          </w:p>
        </w:tc>
        <w:tc>
          <w:tcPr>
            <w:tcW w:type="dxa" w:w="1632"/>
          </w:tcPr>
          <w:p>
            <w:r>
              <w:rPr>
                <w:rFonts w:ascii="宋体" w:hAnsi="宋体" w:eastAsia="宋体"/>
                <w:sz w:val="18"/>
              </w:rPr>
            </w:r>
            <w:r>
              <w:rPr>
                <w:rFonts w:ascii="宋体" w:hAnsi="宋体" w:eastAsia="宋体"/>
                <w:b w:val="0"/>
                <w:sz w:val="18"/>
              </w:rPr>
              <w:t>3.05%</w:t>
            </w:r>
          </w:p>
        </w:tc>
      </w:tr>
      <w:tr>
        <w:tc>
          <w:tcPr>
            <w:tcW w:type="dxa" w:w="1632"/>
          </w:tcPr>
          <w:p>
            <w:r>
              <w:rPr>
                <w:rFonts w:ascii="宋体" w:hAnsi="宋体" w:eastAsia="宋体"/>
                <w:sz w:val="18"/>
              </w:rPr>
            </w:r>
            <w:r>
              <w:rPr>
                <w:rFonts w:ascii="宋体" w:hAnsi="宋体" w:eastAsia="宋体"/>
                <w:b w:val="0"/>
                <w:sz w:val="18"/>
              </w:rPr>
              <w:t>4</w:t>
            </w:r>
          </w:p>
        </w:tc>
        <w:tc>
          <w:tcPr>
            <w:tcW w:type="dxa" w:w="1632"/>
          </w:tcPr>
          <w:p>
            <w:r>
              <w:rPr>
                <w:rFonts w:ascii="宋体" w:hAnsi="宋体" w:eastAsia="宋体"/>
                <w:sz w:val="18"/>
              </w:rPr>
            </w:r>
            <w:r>
              <w:rPr>
                <w:rFonts w:ascii="宋体" w:hAnsi="宋体" w:eastAsia="宋体"/>
                <w:b w:val="0"/>
                <w:sz w:val="18"/>
              </w:rPr>
              <w:t>miura_00951</w:t>
            </w:r>
          </w:p>
        </w:tc>
        <w:tc>
          <w:tcPr>
            <w:tcW w:type="dxa" w:w="1632"/>
          </w:tcPr>
          <w:p>
            <w:r>
              <w:rPr>
                <w:rFonts w:ascii="宋体" w:hAnsi="宋体" w:eastAsia="宋体"/>
                <w:sz w:val="18"/>
              </w:rPr>
            </w:r>
            <w:r>
              <w:rPr>
                <w:rFonts w:ascii="宋体" w:hAnsi="宋体" w:eastAsia="宋体"/>
                <w:b w:val="0"/>
                <w:sz w:val="18"/>
              </w:rPr>
              <w:t>invval_0004_miura_00951</w:t>
            </w:r>
          </w:p>
        </w:tc>
        <w:tc>
          <w:tcPr>
            <w:tcW w:type="dxa" w:w="1632"/>
          </w:tcPr>
          <w:p>
            <w:r>
              <w:rPr>
                <w:rFonts w:ascii="宋体" w:hAnsi="宋体" w:eastAsia="宋体"/>
                <w:sz w:val="18"/>
              </w:rPr>
            </w:r>
            <w:r>
              <w:rPr>
                <w:rFonts w:ascii="宋体" w:hAnsi="宋体" w:eastAsia="宋体"/>
                <w:b w:val="0"/>
                <w:sz w:val="18"/>
              </w:rPr>
              <w:t>2.442e-04</w:t>
            </w:r>
          </w:p>
        </w:tc>
        <w:tc>
          <w:tcPr>
            <w:tcW w:type="dxa" w:w="1632"/>
          </w:tcPr>
          <w:p>
            <w:r>
              <w:rPr>
                <w:rFonts w:ascii="宋体" w:hAnsi="宋体" w:eastAsia="宋体"/>
                <w:sz w:val="18"/>
              </w:rPr>
            </w:r>
            <w:r>
              <w:rPr>
                <w:rFonts w:ascii="宋体" w:hAnsi="宋体" w:eastAsia="宋体"/>
                <w:b w:val="0"/>
                <w:sz w:val="18"/>
              </w:rPr>
              <w:t>0.34%</w:t>
            </w:r>
          </w:p>
        </w:tc>
        <w:tc>
          <w:tcPr>
            <w:tcW w:type="dxa" w:w="1632"/>
          </w:tcPr>
          <w:p>
            <w:r>
              <w:rPr>
                <w:rFonts w:ascii="宋体" w:hAnsi="宋体" w:eastAsia="宋体"/>
                <w:sz w:val="18"/>
              </w:rPr>
            </w:r>
            <w:r>
              <w:rPr>
                <w:rFonts w:ascii="宋体" w:hAnsi="宋体" w:eastAsia="宋体"/>
                <w:b w:val="0"/>
                <w:sz w:val="18"/>
              </w:rPr>
              <w:t>2.88%</w:t>
            </w:r>
          </w:p>
        </w:tc>
      </w:tr>
      <w:tr>
        <w:tc>
          <w:tcPr>
            <w:tcW w:type="dxa" w:w="1632"/>
          </w:tcPr>
          <w:p>
            <w:r>
              <w:rPr>
                <w:rFonts w:ascii="宋体" w:hAnsi="宋体" w:eastAsia="宋体"/>
                <w:sz w:val="18"/>
              </w:rPr>
            </w:r>
            <w:r>
              <w:rPr>
                <w:rFonts w:ascii="宋体" w:hAnsi="宋体" w:eastAsia="宋体"/>
                <w:b w:val="0"/>
                <w:sz w:val="18"/>
              </w:rPr>
              <w:t>5</w:t>
            </w:r>
          </w:p>
        </w:tc>
        <w:tc>
          <w:tcPr>
            <w:tcW w:type="dxa" w:w="1632"/>
          </w:tcPr>
          <w:p>
            <w:r>
              <w:rPr>
                <w:rFonts w:ascii="宋体" w:hAnsi="宋体" w:eastAsia="宋体"/>
                <w:sz w:val="18"/>
              </w:rPr>
            </w:r>
            <w:r>
              <w:rPr>
                <w:rFonts w:ascii="宋体" w:hAnsi="宋体" w:eastAsia="宋体"/>
                <w:b w:val="0"/>
                <w:sz w:val="18"/>
              </w:rPr>
              <w:t>miura_01589</w:t>
            </w:r>
          </w:p>
        </w:tc>
        <w:tc>
          <w:tcPr>
            <w:tcW w:type="dxa" w:w="1632"/>
          </w:tcPr>
          <w:p>
            <w:r>
              <w:rPr>
                <w:rFonts w:ascii="宋体" w:hAnsi="宋体" w:eastAsia="宋体"/>
                <w:sz w:val="18"/>
              </w:rPr>
            </w:r>
            <w:r>
              <w:rPr>
                <w:rFonts w:ascii="宋体" w:hAnsi="宋体" w:eastAsia="宋体"/>
                <w:b w:val="0"/>
                <w:sz w:val="18"/>
              </w:rPr>
              <w:t>invval_0005_miura_01589</w:t>
            </w:r>
          </w:p>
        </w:tc>
        <w:tc>
          <w:tcPr>
            <w:tcW w:type="dxa" w:w="1632"/>
          </w:tcPr>
          <w:p>
            <w:r>
              <w:rPr>
                <w:rFonts w:ascii="宋体" w:hAnsi="宋体" w:eastAsia="宋体"/>
                <w:sz w:val="18"/>
              </w:rPr>
            </w:r>
            <w:r>
              <w:rPr>
                <w:rFonts w:ascii="宋体" w:hAnsi="宋体" w:eastAsia="宋体"/>
                <w:b w:val="0"/>
                <w:sz w:val="18"/>
              </w:rPr>
              <w:t>2.710e-04</w:t>
            </w:r>
          </w:p>
        </w:tc>
        <w:tc>
          <w:tcPr>
            <w:tcW w:type="dxa" w:w="1632"/>
          </w:tcPr>
          <w:p>
            <w:r>
              <w:rPr>
                <w:rFonts w:ascii="宋体" w:hAnsi="宋体" w:eastAsia="宋体"/>
                <w:sz w:val="18"/>
              </w:rPr>
            </w:r>
            <w:r>
              <w:rPr>
                <w:rFonts w:ascii="宋体" w:hAnsi="宋体" w:eastAsia="宋体"/>
                <w:b w:val="0"/>
                <w:sz w:val="18"/>
              </w:rPr>
              <w:t>0.55%</w:t>
            </w:r>
          </w:p>
        </w:tc>
        <w:tc>
          <w:tcPr>
            <w:tcW w:type="dxa" w:w="1632"/>
          </w:tcPr>
          <w:p>
            <w:r>
              <w:rPr>
                <w:rFonts w:ascii="宋体" w:hAnsi="宋体" w:eastAsia="宋体"/>
                <w:sz w:val="18"/>
              </w:rPr>
            </w:r>
            <w:r>
              <w:rPr>
                <w:rFonts w:ascii="宋体" w:hAnsi="宋体" w:eastAsia="宋体"/>
                <w:b w:val="0"/>
                <w:sz w:val="18"/>
              </w:rPr>
              <w:t>4.10%</w:t>
            </w:r>
          </w:p>
        </w:tc>
      </w:tr>
      <w:tr>
        <w:tc>
          <w:tcPr>
            <w:tcW w:type="dxa" w:w="1632"/>
          </w:tcPr>
          <w:p>
            <w:r>
              <w:rPr>
                <w:rFonts w:ascii="宋体" w:hAnsi="宋体" w:eastAsia="宋体"/>
                <w:sz w:val="18"/>
              </w:rPr>
            </w:r>
            <w:r>
              <w:rPr>
                <w:rFonts w:ascii="宋体" w:hAnsi="宋体" w:eastAsia="宋体"/>
                <w:b w:val="0"/>
                <w:sz w:val="18"/>
              </w:rPr>
              <w:t>6</w:t>
            </w:r>
          </w:p>
        </w:tc>
        <w:tc>
          <w:tcPr>
            <w:tcW w:type="dxa" w:w="1632"/>
          </w:tcPr>
          <w:p>
            <w:r>
              <w:rPr>
                <w:rFonts w:ascii="宋体" w:hAnsi="宋体" w:eastAsia="宋体"/>
                <w:sz w:val="18"/>
              </w:rPr>
            </w:r>
            <w:r>
              <w:rPr>
                <w:rFonts w:ascii="宋体" w:hAnsi="宋体" w:eastAsia="宋体"/>
                <w:b w:val="0"/>
                <w:sz w:val="18"/>
              </w:rPr>
              <w:t>miura_00430</w:t>
            </w:r>
          </w:p>
        </w:tc>
        <w:tc>
          <w:tcPr>
            <w:tcW w:type="dxa" w:w="1632"/>
          </w:tcPr>
          <w:p>
            <w:r>
              <w:rPr>
                <w:rFonts w:ascii="宋体" w:hAnsi="宋体" w:eastAsia="宋体"/>
                <w:sz w:val="18"/>
              </w:rPr>
            </w:r>
            <w:r>
              <w:rPr>
                <w:rFonts w:ascii="宋体" w:hAnsi="宋体" w:eastAsia="宋体"/>
                <w:b w:val="0"/>
                <w:sz w:val="18"/>
              </w:rPr>
              <w:t>invval_0006_miura_00430</w:t>
            </w:r>
          </w:p>
        </w:tc>
        <w:tc>
          <w:tcPr>
            <w:tcW w:type="dxa" w:w="1632"/>
          </w:tcPr>
          <w:p>
            <w:r>
              <w:rPr>
                <w:rFonts w:ascii="宋体" w:hAnsi="宋体" w:eastAsia="宋体"/>
                <w:sz w:val="18"/>
              </w:rPr>
            </w:r>
            <w:r>
              <w:rPr>
                <w:rFonts w:ascii="宋体" w:hAnsi="宋体" w:eastAsia="宋体"/>
                <w:b w:val="0"/>
                <w:sz w:val="18"/>
              </w:rPr>
              <w:t>2.730e-04</w:t>
            </w:r>
          </w:p>
        </w:tc>
        <w:tc>
          <w:tcPr>
            <w:tcW w:type="dxa" w:w="1632"/>
          </w:tcPr>
          <w:p>
            <w:r>
              <w:rPr>
                <w:rFonts w:ascii="宋体" w:hAnsi="宋体" w:eastAsia="宋体"/>
                <w:sz w:val="18"/>
              </w:rPr>
            </w:r>
            <w:r>
              <w:rPr>
                <w:rFonts w:ascii="宋体" w:hAnsi="宋体" w:eastAsia="宋体"/>
                <w:b w:val="0"/>
                <w:sz w:val="18"/>
              </w:rPr>
              <w:t>0.21%</w:t>
            </w:r>
          </w:p>
        </w:tc>
        <w:tc>
          <w:tcPr>
            <w:tcW w:type="dxa" w:w="1632"/>
          </w:tcPr>
          <w:p>
            <w:r>
              <w:rPr>
                <w:rFonts w:ascii="宋体" w:hAnsi="宋体" w:eastAsia="宋体"/>
                <w:sz w:val="18"/>
              </w:rPr>
            </w:r>
            <w:r>
              <w:rPr>
                <w:rFonts w:ascii="宋体" w:hAnsi="宋体" w:eastAsia="宋体"/>
                <w:b w:val="0"/>
                <w:sz w:val="18"/>
              </w:rPr>
              <w:t>1.11%</w:t>
            </w:r>
          </w:p>
        </w:tc>
      </w:tr>
      <w:tr>
        <w:tc>
          <w:tcPr>
            <w:tcW w:type="dxa" w:w="1632"/>
          </w:tcPr>
          <w:p>
            <w:r>
              <w:rPr>
                <w:rFonts w:ascii="宋体" w:hAnsi="宋体" w:eastAsia="宋体"/>
                <w:sz w:val="18"/>
              </w:rPr>
            </w:r>
            <w:r>
              <w:rPr>
                <w:rFonts w:ascii="宋体" w:hAnsi="宋体" w:eastAsia="宋体"/>
                <w:b w:val="0"/>
                <w:sz w:val="18"/>
              </w:rPr>
              <w:t>7</w:t>
            </w:r>
          </w:p>
        </w:tc>
        <w:tc>
          <w:tcPr>
            <w:tcW w:type="dxa" w:w="1632"/>
          </w:tcPr>
          <w:p>
            <w:r>
              <w:rPr>
                <w:rFonts w:ascii="宋体" w:hAnsi="宋体" w:eastAsia="宋体"/>
                <w:sz w:val="18"/>
              </w:rPr>
            </w:r>
            <w:r>
              <w:rPr>
                <w:rFonts w:ascii="宋体" w:hAnsi="宋体" w:eastAsia="宋体"/>
                <w:b w:val="0"/>
                <w:sz w:val="18"/>
              </w:rPr>
              <w:t>miura_00968</w:t>
            </w:r>
          </w:p>
        </w:tc>
        <w:tc>
          <w:tcPr>
            <w:tcW w:type="dxa" w:w="1632"/>
          </w:tcPr>
          <w:p>
            <w:r>
              <w:rPr>
                <w:rFonts w:ascii="宋体" w:hAnsi="宋体" w:eastAsia="宋体"/>
                <w:sz w:val="18"/>
              </w:rPr>
            </w:r>
            <w:r>
              <w:rPr>
                <w:rFonts w:ascii="宋体" w:hAnsi="宋体" w:eastAsia="宋体"/>
                <w:b w:val="0"/>
                <w:sz w:val="18"/>
              </w:rPr>
              <w:t>invval_0007_miura_00968</w:t>
            </w:r>
          </w:p>
        </w:tc>
        <w:tc>
          <w:tcPr>
            <w:tcW w:type="dxa" w:w="1632"/>
          </w:tcPr>
          <w:p>
            <w:r>
              <w:rPr>
                <w:rFonts w:ascii="宋体" w:hAnsi="宋体" w:eastAsia="宋体"/>
                <w:sz w:val="18"/>
              </w:rPr>
            </w:r>
            <w:r>
              <w:rPr>
                <w:rFonts w:ascii="宋体" w:hAnsi="宋体" w:eastAsia="宋体"/>
                <w:b w:val="0"/>
                <w:sz w:val="18"/>
              </w:rPr>
              <w:t>3.015e-04</w:t>
            </w:r>
          </w:p>
        </w:tc>
        <w:tc>
          <w:tcPr>
            <w:tcW w:type="dxa" w:w="1632"/>
          </w:tcPr>
          <w:p>
            <w:r>
              <w:rPr>
                <w:rFonts w:ascii="宋体" w:hAnsi="宋体" w:eastAsia="宋体"/>
                <w:sz w:val="18"/>
              </w:rPr>
            </w:r>
            <w:r>
              <w:rPr>
                <w:rFonts w:ascii="宋体" w:hAnsi="宋体" w:eastAsia="宋体"/>
                <w:b w:val="0"/>
                <w:sz w:val="18"/>
              </w:rPr>
              <w:t>3.31%</w:t>
            </w:r>
          </w:p>
        </w:tc>
        <w:tc>
          <w:tcPr>
            <w:tcW w:type="dxa" w:w="1632"/>
          </w:tcPr>
          <w:p>
            <w:r>
              <w:rPr>
                <w:rFonts w:ascii="宋体" w:hAnsi="宋体" w:eastAsia="宋体"/>
                <w:sz w:val="18"/>
              </w:rPr>
            </w:r>
            <w:r>
              <w:rPr>
                <w:rFonts w:ascii="宋体" w:hAnsi="宋体" w:eastAsia="宋体"/>
                <w:b w:val="0"/>
                <w:sz w:val="18"/>
              </w:rPr>
              <w:t>9.09%</w:t>
            </w:r>
          </w:p>
        </w:tc>
      </w:tr>
      <w:tr>
        <w:tc>
          <w:tcPr>
            <w:tcW w:type="dxa" w:w="1632"/>
          </w:tcPr>
          <w:p>
            <w:r>
              <w:rPr>
                <w:rFonts w:ascii="宋体" w:hAnsi="宋体" w:eastAsia="宋体"/>
                <w:sz w:val="18"/>
              </w:rPr>
            </w:r>
            <w:r>
              <w:rPr>
                <w:rFonts w:ascii="宋体" w:hAnsi="宋体" w:eastAsia="宋体"/>
                <w:b w:val="0"/>
                <w:sz w:val="18"/>
              </w:rPr>
              <w:t>8</w:t>
            </w:r>
          </w:p>
        </w:tc>
        <w:tc>
          <w:tcPr>
            <w:tcW w:type="dxa" w:w="1632"/>
          </w:tcPr>
          <w:p>
            <w:r>
              <w:rPr>
                <w:rFonts w:ascii="宋体" w:hAnsi="宋体" w:eastAsia="宋体"/>
                <w:sz w:val="18"/>
              </w:rPr>
            </w:r>
            <w:r>
              <w:rPr>
                <w:rFonts w:ascii="宋体" w:hAnsi="宋体" w:eastAsia="宋体"/>
                <w:b w:val="0"/>
                <w:sz w:val="18"/>
              </w:rPr>
              <w:t>miura_01675</w:t>
            </w:r>
          </w:p>
        </w:tc>
        <w:tc>
          <w:tcPr>
            <w:tcW w:type="dxa" w:w="1632"/>
          </w:tcPr>
          <w:p>
            <w:r>
              <w:rPr>
                <w:rFonts w:ascii="宋体" w:hAnsi="宋体" w:eastAsia="宋体"/>
                <w:sz w:val="18"/>
              </w:rPr>
            </w:r>
            <w:r>
              <w:rPr>
                <w:rFonts w:ascii="宋体" w:hAnsi="宋体" w:eastAsia="宋体"/>
                <w:b w:val="0"/>
                <w:sz w:val="18"/>
              </w:rPr>
              <w:t>invval_0008_miura_01675</w:t>
            </w:r>
          </w:p>
        </w:tc>
        <w:tc>
          <w:tcPr>
            <w:tcW w:type="dxa" w:w="1632"/>
          </w:tcPr>
          <w:p>
            <w:r>
              <w:rPr>
                <w:rFonts w:ascii="宋体" w:hAnsi="宋体" w:eastAsia="宋体"/>
                <w:sz w:val="18"/>
              </w:rPr>
            </w:r>
            <w:r>
              <w:rPr>
                <w:rFonts w:ascii="宋体" w:hAnsi="宋体" w:eastAsia="宋体"/>
                <w:b w:val="0"/>
                <w:sz w:val="18"/>
              </w:rPr>
              <w:t>3.244e-04</w:t>
            </w:r>
          </w:p>
        </w:tc>
        <w:tc>
          <w:tcPr>
            <w:tcW w:type="dxa" w:w="1632"/>
          </w:tcPr>
          <w:p>
            <w:r>
              <w:rPr>
                <w:rFonts w:ascii="宋体" w:hAnsi="宋体" w:eastAsia="宋体"/>
                <w:sz w:val="18"/>
              </w:rPr>
            </w:r>
            <w:r>
              <w:rPr>
                <w:rFonts w:ascii="宋体" w:hAnsi="宋体" w:eastAsia="宋体"/>
                <w:b w:val="0"/>
                <w:sz w:val="18"/>
              </w:rPr>
              <w:t>2.84%</w:t>
            </w:r>
          </w:p>
        </w:tc>
        <w:tc>
          <w:tcPr>
            <w:tcW w:type="dxa" w:w="1632"/>
          </w:tcPr>
          <w:p>
            <w:r>
              <w:rPr>
                <w:rFonts w:ascii="宋体" w:hAnsi="宋体" w:eastAsia="宋体"/>
                <w:sz w:val="18"/>
              </w:rPr>
            </w:r>
            <w:r>
              <w:rPr>
                <w:rFonts w:ascii="宋体" w:hAnsi="宋体" w:eastAsia="宋体"/>
                <w:b w:val="0"/>
                <w:sz w:val="18"/>
              </w:rPr>
              <w:t>4.14%</w:t>
            </w:r>
          </w:p>
        </w:tc>
      </w:tr>
      <w:tr>
        <w:tc>
          <w:tcPr>
            <w:tcW w:type="dxa" w:w="1632"/>
          </w:tcPr>
          <w:p>
            <w:r>
              <w:rPr>
                <w:rFonts w:ascii="宋体" w:hAnsi="宋体" w:eastAsia="宋体"/>
                <w:sz w:val="18"/>
              </w:rPr>
            </w:r>
            <w:r>
              <w:rPr>
                <w:rFonts w:ascii="宋体" w:hAnsi="宋体" w:eastAsia="宋体"/>
                <w:b w:val="0"/>
                <w:sz w:val="18"/>
              </w:rPr>
              <w:t>9</w:t>
            </w:r>
          </w:p>
        </w:tc>
        <w:tc>
          <w:tcPr>
            <w:tcW w:type="dxa" w:w="1632"/>
          </w:tcPr>
          <w:p>
            <w:r>
              <w:rPr>
                <w:rFonts w:ascii="宋体" w:hAnsi="宋体" w:eastAsia="宋体"/>
                <w:sz w:val="18"/>
              </w:rPr>
            </w:r>
            <w:r>
              <w:rPr>
                <w:rFonts w:ascii="宋体" w:hAnsi="宋体" w:eastAsia="宋体"/>
                <w:b w:val="0"/>
                <w:sz w:val="18"/>
              </w:rPr>
              <w:t>miura_00620</w:t>
            </w:r>
          </w:p>
        </w:tc>
        <w:tc>
          <w:tcPr>
            <w:tcW w:type="dxa" w:w="1632"/>
          </w:tcPr>
          <w:p>
            <w:r>
              <w:rPr>
                <w:rFonts w:ascii="宋体" w:hAnsi="宋体" w:eastAsia="宋体"/>
                <w:sz w:val="18"/>
              </w:rPr>
            </w:r>
            <w:r>
              <w:rPr>
                <w:rFonts w:ascii="宋体" w:hAnsi="宋体" w:eastAsia="宋体"/>
                <w:b w:val="0"/>
                <w:sz w:val="18"/>
              </w:rPr>
              <w:t>invval_0009_miura_00620</w:t>
            </w:r>
          </w:p>
        </w:tc>
        <w:tc>
          <w:tcPr>
            <w:tcW w:type="dxa" w:w="1632"/>
          </w:tcPr>
          <w:p>
            <w:r>
              <w:rPr>
                <w:rFonts w:ascii="宋体" w:hAnsi="宋体" w:eastAsia="宋体"/>
                <w:sz w:val="18"/>
              </w:rPr>
            </w:r>
            <w:r>
              <w:rPr>
                <w:rFonts w:ascii="宋体" w:hAnsi="宋体" w:eastAsia="宋体"/>
                <w:b w:val="0"/>
                <w:sz w:val="18"/>
              </w:rPr>
              <w:t>3.255e-04</w:t>
            </w:r>
          </w:p>
        </w:tc>
        <w:tc>
          <w:tcPr>
            <w:tcW w:type="dxa" w:w="1632"/>
          </w:tcPr>
          <w:p>
            <w:r>
              <w:rPr>
                <w:rFonts w:ascii="宋体" w:hAnsi="宋体" w:eastAsia="宋体"/>
                <w:sz w:val="18"/>
              </w:rPr>
            </w:r>
            <w:r>
              <w:rPr>
                <w:rFonts w:ascii="宋体" w:hAnsi="宋体" w:eastAsia="宋体"/>
                <w:b w:val="0"/>
                <w:sz w:val="18"/>
              </w:rPr>
              <w:t>0.92%</w:t>
            </w:r>
          </w:p>
        </w:tc>
        <w:tc>
          <w:tcPr>
            <w:tcW w:type="dxa" w:w="1632"/>
          </w:tcPr>
          <w:p>
            <w:r>
              <w:rPr>
                <w:rFonts w:ascii="宋体" w:hAnsi="宋体" w:eastAsia="宋体"/>
                <w:sz w:val="18"/>
              </w:rPr>
            </w:r>
            <w:r>
              <w:rPr>
                <w:rFonts w:ascii="宋体" w:hAnsi="宋体" w:eastAsia="宋体"/>
                <w:b w:val="0"/>
                <w:sz w:val="18"/>
              </w:rPr>
              <w:t>3.07%</w:t>
            </w:r>
          </w:p>
        </w:tc>
      </w:tr>
      <w:tr>
        <w:tc>
          <w:tcPr>
            <w:tcW w:type="dxa" w:w="1632"/>
          </w:tcPr>
          <w:p>
            <w:r>
              <w:rPr>
                <w:rFonts w:ascii="宋体" w:hAnsi="宋体" w:eastAsia="宋体"/>
                <w:sz w:val="18"/>
              </w:rPr>
            </w:r>
            <w:r>
              <w:rPr>
                <w:rFonts w:ascii="宋体" w:hAnsi="宋体" w:eastAsia="宋体"/>
                <w:b w:val="0"/>
                <w:sz w:val="18"/>
              </w:rPr>
              <w:t>10</w:t>
            </w:r>
          </w:p>
        </w:tc>
        <w:tc>
          <w:tcPr>
            <w:tcW w:type="dxa" w:w="1632"/>
          </w:tcPr>
          <w:p>
            <w:r>
              <w:rPr>
                <w:rFonts w:ascii="宋体" w:hAnsi="宋体" w:eastAsia="宋体"/>
                <w:sz w:val="18"/>
              </w:rPr>
            </w:r>
            <w:r>
              <w:rPr>
                <w:rFonts w:ascii="宋体" w:hAnsi="宋体" w:eastAsia="宋体"/>
                <w:b w:val="0"/>
                <w:sz w:val="18"/>
              </w:rPr>
              <w:t>miura_01315</w:t>
            </w:r>
          </w:p>
        </w:tc>
        <w:tc>
          <w:tcPr>
            <w:tcW w:type="dxa" w:w="1632"/>
          </w:tcPr>
          <w:p>
            <w:r>
              <w:rPr>
                <w:rFonts w:ascii="宋体" w:hAnsi="宋体" w:eastAsia="宋体"/>
                <w:sz w:val="18"/>
              </w:rPr>
            </w:r>
            <w:r>
              <w:rPr>
                <w:rFonts w:ascii="宋体" w:hAnsi="宋体" w:eastAsia="宋体"/>
                <w:b w:val="0"/>
                <w:sz w:val="18"/>
              </w:rPr>
              <w:t>invval_0010_miura_01315</w:t>
            </w:r>
          </w:p>
        </w:tc>
        <w:tc>
          <w:tcPr>
            <w:tcW w:type="dxa" w:w="1632"/>
          </w:tcPr>
          <w:p>
            <w:r>
              <w:rPr>
                <w:rFonts w:ascii="宋体" w:hAnsi="宋体" w:eastAsia="宋体"/>
                <w:sz w:val="18"/>
              </w:rPr>
            </w:r>
            <w:r>
              <w:rPr>
                <w:rFonts w:ascii="宋体" w:hAnsi="宋体" w:eastAsia="宋体"/>
                <w:b w:val="0"/>
                <w:sz w:val="18"/>
              </w:rPr>
              <w:t>3.315e-04</w:t>
            </w:r>
          </w:p>
        </w:tc>
        <w:tc>
          <w:tcPr>
            <w:tcW w:type="dxa" w:w="1632"/>
          </w:tcPr>
          <w:p>
            <w:r>
              <w:rPr>
                <w:rFonts w:ascii="宋体" w:hAnsi="宋体" w:eastAsia="宋体"/>
                <w:sz w:val="18"/>
              </w:rPr>
            </w:r>
            <w:r>
              <w:rPr>
                <w:rFonts w:ascii="宋体" w:hAnsi="宋体" w:eastAsia="宋体"/>
                <w:b w:val="0"/>
                <w:sz w:val="18"/>
              </w:rPr>
              <w:t>0.60%</w:t>
            </w:r>
          </w:p>
        </w:tc>
        <w:tc>
          <w:tcPr>
            <w:tcW w:type="dxa" w:w="1632"/>
          </w:tcPr>
          <w:p>
            <w:r>
              <w:rPr>
                <w:rFonts w:ascii="宋体" w:hAnsi="宋体" w:eastAsia="宋体"/>
                <w:sz w:val="18"/>
              </w:rPr>
            </w:r>
            <w:r>
              <w:rPr>
                <w:rFonts w:ascii="宋体" w:hAnsi="宋体" w:eastAsia="宋体"/>
                <w:b w:val="0"/>
                <w:sz w:val="18"/>
              </w:rPr>
              <w:t>1.80%</w:t>
            </w:r>
          </w:p>
        </w:tc>
      </w:tr>
    </w:tbl>
    <w:p/>
    <w:p>
      <w:pPr>
        <w:jc w:val="center"/>
      </w:pPr>
      <w:r>
        <w:drawing>
          <wp:inline xmlns:a="http://schemas.openxmlformats.org/drawingml/2006/main" xmlns:pic="http://schemas.openxmlformats.org/drawingml/2006/picture">
            <wp:extent cx="5303520" cy="3101538"/>
            <wp:docPr id="5" name="Picture 5"/>
            <wp:cNvGraphicFramePr>
              <a:graphicFrameLocks noChangeAspect="1"/>
            </wp:cNvGraphicFramePr>
            <a:graphic>
              <a:graphicData uri="http://schemas.openxmlformats.org/drawingml/2006/picture">
                <pic:pic>
                  <pic:nvPicPr>
                    <pic:cNvPr id="0" name="invval_0001_miura_00074_true_swomps.png"/>
                    <pic:cNvPicPr/>
                  </pic:nvPicPr>
                  <pic:blipFill>
                    <a:blip r:embed="rId14"/>
                    <a:stretch>
                      <a:fillRect/>
                    </a:stretch>
                  </pic:blipFill>
                  <pic:spPr>
                    <a:xfrm>
                      <a:off x="0" y="0"/>
                      <a:ext cx="5303520" cy="3101538"/>
                    </a:xfrm>
                    <a:prstGeom prst="rect"/>
                  </pic:spPr>
                </pic:pic>
              </a:graphicData>
            </a:graphic>
          </wp:inline>
        </w:drawing>
      </w:r>
    </w:p>
    <w:p>
      <w:pPr>
        <w:jc w:val="center"/>
      </w:pPr>
      <w:r>
        <w:rPr>
          <w:rFonts w:ascii="宋体" w:hAnsi="宋体" w:eastAsia="宋体"/>
          <w:i/>
          <w:sz w:val="18"/>
        </w:rPr>
        <w:t>图 5 rank 1 候选设计的真实 SWOMPS 曲线与目标曲线对比。</w:t>
      </w:r>
    </w:p>
    <w:p>
      <w:pPr>
        <w:jc w:val="center"/>
      </w:pPr>
      <w:r>
        <w:drawing>
          <wp:inline xmlns:a="http://schemas.openxmlformats.org/drawingml/2006/main" xmlns:pic="http://schemas.openxmlformats.org/drawingml/2006/picture">
            <wp:extent cx="5303520" cy="3101538"/>
            <wp:docPr id="6" name="Picture 6"/>
            <wp:cNvGraphicFramePr>
              <a:graphicFrameLocks noChangeAspect="1"/>
            </wp:cNvGraphicFramePr>
            <a:graphic>
              <a:graphicData uri="http://schemas.openxmlformats.org/drawingml/2006/picture">
                <pic:pic>
                  <pic:nvPicPr>
                    <pic:cNvPr id="0" name="invval_0007_miura_00968_true_swomps.png"/>
                    <pic:cNvPicPr/>
                  </pic:nvPicPr>
                  <pic:blipFill>
                    <a:blip r:embed="rId15"/>
                    <a:stretch>
                      <a:fillRect/>
                    </a:stretch>
                  </pic:blipFill>
                  <pic:spPr>
                    <a:xfrm>
                      <a:off x="0" y="0"/>
                      <a:ext cx="5303520" cy="3101538"/>
                    </a:xfrm>
                    <a:prstGeom prst="rect"/>
                  </pic:spPr>
                </pic:pic>
              </a:graphicData>
            </a:graphic>
          </wp:inline>
        </w:drawing>
      </w:r>
    </w:p>
    <w:p>
      <w:pPr>
        <w:jc w:val="center"/>
      </w:pPr>
      <w:r>
        <w:rPr>
          <w:rFonts w:ascii="宋体" w:hAnsi="宋体" w:eastAsia="宋体"/>
          <w:i/>
          <w:sz w:val="18"/>
        </w:rPr>
        <w:t>图 6 rank 7 候选设计的真实 SWOMPS 曲线与目标曲线对比。</w:t>
      </w:r>
    </w:p>
    <w:p>
      <w:pPr>
        <w:pStyle w:val="Heading1"/>
      </w:pPr>
      <w:r>
        <w:t>5 讨论</w:t>
      </w:r>
    </w:p>
    <w:p>
      <w:pPr>
        <w:pStyle w:val="Heading2"/>
      </w:pPr>
      <w:r>
        <w:t>5.1 表现好的方面</w:t>
      </w:r>
    </w:p>
    <w:p>
      <w:pPr>
        <w:spacing w:line="276" w:lineRule="auto"/>
        <w:ind w:firstLine="420"/>
      </w:pPr>
      <w:r>
        <w:rPr>
          <w:rFonts w:ascii="宋体" w:hAnsi="宋体" w:eastAsia="宋体"/>
          <w:sz w:val="21"/>
        </w:rPr>
        <w:t>第一，真实 SWOMPS 验证结果明显强于仅在前向代理模型中观察到的闭环结果。在代理闭环中，力 std-NRMSE 为 5.15%，且仍有 3.80% 的负力预测点；而真实 SWOMPS top-10 验证的平均力 std-NRMSE 降至 3.33%，并且负力和负位移比例均为 0。这说明后向模型生成的参数并非只对代理模型有效，至少在 top 候选上能够通过高保真仿真得到物理可行响应。</w:t>
      </w:r>
    </w:p>
    <w:p>
      <w:pPr>
        <w:spacing w:line="276" w:lineRule="auto"/>
        <w:ind w:firstLine="420"/>
      </w:pPr>
      <w:r>
        <w:rPr>
          <w:rFonts w:ascii="宋体" w:hAnsi="宋体" w:eastAsia="宋体"/>
          <w:sz w:val="21"/>
        </w:rPr>
        <w:t>第二，曲线目标比单点刚度目标提供了更丰富的设计约束。真实验证中多数候选在六个工况上均保持良好贴合，rank 1 的弯曲和轴向曲线与目标曲线几乎重合，说明多工况力-位移曲线能够约束结构在不同部署状态下的整体响应形状。</w:t>
      </w:r>
    </w:p>
    <w:p>
      <w:pPr>
        <w:spacing w:line="276" w:lineRule="auto"/>
        <w:ind w:firstLine="420"/>
      </w:pPr>
      <w:r>
        <w:rPr>
          <w:rFonts w:ascii="宋体" w:hAnsi="宋体" w:eastAsia="宋体"/>
          <w:sz w:val="21"/>
        </w:rPr>
        <w:t>第三，生成参数的工程合理性较好。在后向模型候选筛选阶段，pattern、m、n 等类别参数被 snap 到合法集合，连续参数被限制在训练分布范围内。真实 SWOMPS 审计显示 10 个验证样本均成功输出 480 行曲线数据，issues_count 为 0，说明这些设计没有在几何生成、加载节点识别或 NR 收敛阶段出现明显失败。</w:t>
      </w:r>
    </w:p>
    <w:p>
      <w:pPr>
        <w:pStyle w:val="Heading2"/>
      </w:pPr>
      <w:r>
        <w:t>5.2 不足与可能存在的问题</w:t>
      </w:r>
    </w:p>
    <w:p>
      <w:pPr>
        <w:spacing w:line="276" w:lineRule="auto"/>
        <w:ind w:firstLine="420"/>
      </w:pPr>
      <w:r>
        <w:rPr>
          <w:rFonts w:ascii="宋体" w:hAnsi="宋体" w:eastAsia="宋体"/>
          <w:sz w:val="21"/>
        </w:rPr>
        <w:t>第一，真实 SWOMPS 验证目前只覆盖 top-10 候选，样本规模仍小。该验证可以证明模型能够产生一批高质量可行设计，但尚不足以全面说明整个生成分布的稳定性。若论文需要更强结论，应将验证扩展到 top-50、随机候选和难例候选，并报告不同候选组的成功率和误差分布。</w:t>
      </w:r>
    </w:p>
    <w:p>
      <w:pPr>
        <w:spacing w:line="276" w:lineRule="auto"/>
        <w:ind w:firstLine="420"/>
      </w:pPr>
      <w:r>
        <w:rPr>
          <w:rFonts w:ascii="宋体" w:hAnsi="宋体" w:eastAsia="宋体"/>
          <w:sz w:val="21"/>
        </w:rPr>
        <w:t>第二，候选选择存在代理模型偏置。top-10 是按照前向代理闭环误差筛选的，因此验证结果代表“代理筛选后的优选生成参数”，不等价于 diffusion 原始采样分布的无偏性能。后续应补充未筛选样本、不同采样温度、不同候选数 K 的消融实验，以区分后向生成能力和代理筛选能力。</w:t>
      </w:r>
    </w:p>
    <w:p>
      <w:pPr>
        <w:spacing w:line="276" w:lineRule="auto"/>
        <w:ind w:firstLine="420"/>
      </w:pPr>
      <w:r>
        <w:rPr>
          <w:rFonts w:ascii="宋体" w:hAnsi="宋体" w:eastAsia="宋体"/>
          <w:sz w:val="21"/>
        </w:rPr>
        <w:t>第三，前向代理模型仍存在低力区域物理边界问题。代理闭环结果中约 3.80% 的力点为负，尽管真实 SWOMPS 验证中未出现负力，但这说明代理模型在低力起始段的物理一致性仍有改进空间。可以考虑在正向模型中采用非负力增量累积解码、边界条件约束或更强的低载荷局部损失。</w:t>
      </w:r>
    </w:p>
    <w:p>
      <w:pPr>
        <w:spacing w:line="276" w:lineRule="auto"/>
        <w:ind w:firstLine="420"/>
      </w:pPr>
      <w:r>
        <w:rPr>
          <w:rFonts w:ascii="宋体" w:hAnsi="宋体" w:eastAsia="宋体"/>
          <w:sz w:val="21"/>
        </w:rPr>
        <w:t>第四，真实验证采用同源 SWOMPS 仿真，而不是实验样机或其他有限元软件交叉验证。因此当前结论主要说明模型学习到了 SWOMPS 数据生成逻辑下的有效逆向规律，尚不能直接推广为真实物理样机性能。若面向高水平论文投稿，建议增加 Abaqus/实验压缩测试或至少增加不同仿真参数下的稳健性验证。</w:t>
      </w:r>
    </w:p>
    <w:p>
      <w:pPr>
        <w:spacing w:line="276" w:lineRule="auto"/>
        <w:ind w:firstLine="420"/>
      </w:pPr>
      <w:r>
        <w:rPr>
          <w:rFonts w:ascii="宋体" w:hAnsi="宋体" w:eastAsia="宋体"/>
          <w:sz w:val="21"/>
        </w:rPr>
        <w:t>第五，目前的 nonlinear 响应未出现 snap-like 或位移非单调响应。审计结果显示 snap_like_curves 为 0，nonmonotonic_segments_total 为 0。这意味着当前大载荷范围已包含明显的非线性硬化/软化信息，但尚未覆盖跳跃、屈曲后路径或多稳态分支。如果论文希望强调多稳态和屈曲设计，需要引入 MGDCM/DC 延拓或更强加载路径。</w:t>
      </w:r>
    </w:p>
    <w:p>
      <w:pPr>
        <w:pStyle w:val="Heading1"/>
      </w:pPr>
      <w:r>
        <w:t>6 结论</w:t>
      </w:r>
    </w:p>
    <w:p>
      <w:pPr>
        <w:spacing w:line="276" w:lineRule="auto"/>
        <w:ind w:firstLine="420"/>
      </w:pPr>
      <w:r>
        <w:rPr>
          <w:rFonts w:ascii="宋体" w:hAnsi="宋体" w:eastAsia="宋体"/>
          <w:sz w:val="21"/>
        </w:rPr>
        <w:t>本文基于 Miura 折纸结构构建了多工况力-位移曲线数据集，并将其用于正向代理建模和条件 diffusion 逆向生成。相较于参数-刚度标量数据，曲线数据提供了更高维、更具工程意义的响应约束，使后向模型能够在一对多设计空间中产生物理可行的候选参数。真实 SWOMPS top-10 验证表明，生成设计的平均位移 std-NRMSE 为 1.00%，平均力 std-NRMSE 为 3.33%，且所有验证样本均收敛。这些结果支持将“多工况响应曲线-概率生成模型-高保真仿真闭环验证”作为折纸结构逆向设计的一条可行路线。</w:t>
      </w:r>
    </w:p>
    <w:p>
      <w:pPr>
        <w:pStyle w:val="Heading1"/>
      </w:pPr>
      <w:r>
        <w:t>7 后续工作计划</w:t>
      </w:r>
    </w:p>
    <w:p>
      <w:pPr>
        <w:spacing w:line="276" w:lineRule="auto"/>
        <w:ind w:firstLine="420"/>
      </w:pPr>
      <w:r>
        <w:rPr>
          <w:rFonts w:ascii="宋体" w:hAnsi="宋体" w:eastAsia="宋体"/>
          <w:sz w:val="21"/>
        </w:rPr>
        <w:t>后续建议按三个层次推进：其一，扩大真实 SWOMPS 验证规模，至少覆盖 top-50、随机 50 和难例 50；其二，补充模型消融，包括候选数 K、物理惩罚权重、非负增量解码、物理摘要多任务学习等；其三，引入跨仿真或实验验证，检查生成参数在不同求解器、不同载荷路径和真实样机中的一致性。</w:t>
      </w:r>
    </w:p>
    <w:p>
      <w:pPr>
        <w:pStyle w:val="Heading1"/>
      </w:pPr>
      <w:r>
        <w:t>数据与文件位置</w:t>
      </w:r>
    </w:p>
    <w:p>
      <w:pPr>
        <w:spacing w:line="276" w:lineRule="auto"/>
        <w:ind w:firstLine="420"/>
      </w:pPr>
      <w:r>
        <w:rPr>
          <w:rFonts w:ascii="宋体" w:hAnsi="宋体" w:eastAsia="宋体"/>
          <w:sz w:val="21"/>
        </w:rPr>
        <w:t>质量过滤数据集：F:\TPMS\origami_experiments\curve_dataset\miura_nonlinear_v2\data_random_quality_filtered</w:t>
      </w:r>
    </w:p>
    <w:p>
      <w:pPr>
        <w:spacing w:line="276" w:lineRule="auto"/>
        <w:ind w:firstLine="420"/>
      </w:pPr>
      <w:r>
        <w:rPr>
          <w:rFonts w:ascii="宋体" w:hAnsi="宋体" w:eastAsia="宋体"/>
          <w:sz w:val="21"/>
        </w:rPr>
        <w:t>后向 diffusion 结果：F:\TPMS\origami_experiments\curve_dataset\miura_nonlinear_v2\training_results\inverse_diffusion_quality_filtered_150ep_v2_physical</w:t>
      </w:r>
    </w:p>
    <w:p>
      <w:pPr>
        <w:spacing w:line="276" w:lineRule="auto"/>
        <w:ind w:firstLine="420"/>
      </w:pPr>
      <w:r>
        <w:rPr>
          <w:rFonts w:ascii="宋体" w:hAnsi="宋体" w:eastAsia="宋体"/>
          <w:sz w:val="21"/>
        </w:rPr>
        <w:t>真实 SWOMPS 验证目录：F:\TPMS\origami_experiments\curve_dataset\miura_nonlinear_v2\validation\inverse_swomps_top10_v1</w:t>
      </w:r>
    </w:p>
    <w:p>
      <w:pPr>
        <w:spacing w:line="276" w:lineRule="auto"/>
        <w:ind w:firstLine="420"/>
      </w:pPr>
      <w:r>
        <w:rPr>
          <w:rFonts w:ascii="宋体" w:hAnsi="宋体" w:eastAsia="宋体"/>
          <w:sz w:val="21"/>
        </w:rPr>
        <w:t>逐候选指标：F:\TPMS\origami_experiments\curve_dataset\miura_nonlinear_v2\validation\inverse_swomps_top10_v1\results\swomps_validation_metrics.csv</w:t>
      </w:r>
    </w:p>
    <w:p>
      <w:pPr>
        <w:spacing w:line="276" w:lineRule="auto"/>
        <w:ind w:firstLine="420"/>
      </w:pPr>
      <w:r>
        <w:rPr>
          <w:rFonts w:ascii="宋体" w:hAnsi="宋体" w:eastAsia="宋体"/>
          <w:sz w:val="21"/>
        </w:rPr>
        <w:t>审计结果：F:\TPMS\origami_experiments\curve_dataset\miura_nonlinear_v2\validation\inverse_swomps_top10_v1\audit_nonlinear\miura_curve_audit.json</w:t>
      </w:r>
    </w:p>
    <w:p>
      <w:pPr>
        <w:pStyle w:val="Heading1"/>
      </w:pPr>
      <w:r>
        <w:t>参考文献待补</w:t>
      </w:r>
    </w:p>
    <w:p>
      <w:pPr>
        <w:spacing w:line="276" w:lineRule="auto"/>
        <w:ind w:firstLine="420"/>
      </w:pPr>
      <w:r>
        <w:rPr>
          <w:rFonts w:ascii="宋体" w:hAnsi="宋体" w:eastAsia="宋体"/>
          <w:sz w:val="21"/>
        </w:rPr>
        <w:t>本初稿尚未补充正式参考文献。后续至少应补充 Miura-ori 结构力学、SWOMPS/OrigamiSimulator、GraphMetaMat 或相关图神经网络材料逆向设计、扩散模型逆向设计等方向的文献。</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