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-208267</wp:posOffset>
                </wp:positionH>
                <wp:positionV relativeFrom="line">
                  <wp:posOffset>-365164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-381622</wp:posOffset>
                </wp:positionH>
                <wp:positionV relativeFrom="line">
                  <wp:posOffset>-365177</wp:posOffset>
                </wp:positionV>
                <wp:extent cx="10172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CN" w:eastAsia="zh-CN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CN" w:eastAsia="zh-CN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-1965313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298450</wp:posOffset>
            </wp:positionH>
            <wp:positionV relativeFrom="line">
              <wp:posOffset>410210</wp:posOffset>
            </wp:positionV>
            <wp:extent cx="4658907" cy="527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07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4537710</wp:posOffset>
            </wp:positionV>
            <wp:extent cx="5270500" cy="28899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根据以上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对象结构用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dom</w:t>
      </w:r>
      <w:r>
        <w:rPr>
          <w:rFonts w:ascii="宋体" w:cs="宋体" w:hAnsi="宋体" w:eastAsia="宋体"/>
          <w:rtl w:val="0"/>
          <w:lang w:val="zh-CN" w:eastAsia="zh-CN"/>
        </w:rPr>
        <w:t>树的渲染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理解</w:t>
      </w:r>
      <w:r>
        <w:rPr>
          <w:rFonts w:ascii="宋体" w:cs="宋体" w:hAnsi="宋体" w:eastAsia="宋体"/>
          <w:rtl w:val="0"/>
          <w:lang w:val="zh-CN" w:eastAsia="zh-CN"/>
        </w:rPr>
        <w:t>虚拟</w:t>
      </w:r>
      <w:r>
        <w:rPr>
          <w:rFonts w:ascii="宋体" w:cs="宋体" w:hAnsi="宋体" w:eastAsia="宋体"/>
          <w:rtl w:val="0"/>
          <w:lang w:val="zh-CN" w:eastAsia="zh-CN"/>
        </w:rPr>
        <w:t>dom</w:t>
      </w:r>
      <w:r>
        <w:rPr>
          <w:rFonts w:ascii="宋体" w:cs="宋体" w:hAnsi="宋体" w:eastAsia="宋体"/>
          <w:rtl w:val="0"/>
          <w:lang w:val="zh-CN" w:eastAsia="zh-CN"/>
        </w:rPr>
        <w:t>的原理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     2. </w:t>
      </w:r>
      <w:r>
        <w:rPr>
          <w:rFonts w:ascii="宋体" w:cs="宋体" w:hAnsi="宋体" w:eastAsia="宋体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>合理使用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语法实现以上结构的</w:t>
      </w:r>
      <w:r>
        <w:rPr>
          <w:rFonts w:ascii="宋体" w:cs="宋体" w:hAnsi="宋体" w:eastAsia="宋体"/>
          <w:rtl w:val="0"/>
          <w:lang w:val="zh-CN" w:eastAsia="zh-CN"/>
        </w:rPr>
        <w:t>渲染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1. </w:t>
      </w:r>
      <w:r>
        <w:rPr>
          <w:rFonts w:ascii="Calibri" w:cs="Calibri" w:hAnsi="Calibri" w:eastAsia="Calibri"/>
          <w:rtl w:val="0"/>
          <w:lang w:val="zh-CN" w:eastAsia="zh-CN"/>
        </w:rPr>
        <w:t>按照给出的</w:t>
      </w:r>
      <w:r>
        <w:rPr>
          <w:rFonts w:ascii="Calibri" w:cs="Calibri" w:hAnsi="Calibri" w:eastAsia="Calibri"/>
          <w:rtl w:val="0"/>
          <w:lang w:val="zh-CN" w:eastAsia="zh-CN"/>
        </w:rPr>
        <w:t>js</w:t>
      </w:r>
      <w:r>
        <w:rPr>
          <w:rFonts w:ascii="Calibri" w:cs="Calibri" w:hAnsi="Calibri" w:eastAsia="Calibri"/>
          <w:rtl w:val="0"/>
          <w:lang w:val="zh-CN" w:eastAsia="zh-CN"/>
        </w:rPr>
        <w:t>结构进行遍历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合理的</w:t>
      </w:r>
      <w:r>
        <w:rPr>
          <w:rFonts w:ascii="Calibri" w:cs="Calibri" w:hAnsi="Calibri" w:eastAsia="Calibri"/>
          <w:rtl w:val="0"/>
          <w:lang w:val="zh-CN" w:eastAsia="zh-CN"/>
        </w:rPr>
        <w:t>js</w:t>
      </w:r>
      <w:r>
        <w:rPr>
          <w:rFonts w:ascii="Calibri" w:cs="Calibri" w:hAnsi="Calibri" w:eastAsia="Calibri"/>
          <w:rtl w:val="0"/>
          <w:lang w:val="zh-CN" w:eastAsia="zh-CN"/>
        </w:rPr>
        <w:t>语法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正确的输出</w:t>
      </w:r>
      <w:r>
        <w:rPr>
          <w:rFonts w:ascii="Calibri" w:cs="Calibri" w:hAnsi="Calibri" w:eastAsia="Calibri"/>
          <w:rtl w:val="0"/>
          <w:lang w:val="zh-CN" w:eastAsia="zh-CN"/>
        </w:rPr>
        <w:t>dom</w:t>
      </w:r>
      <w:r>
        <w:rPr>
          <w:rFonts w:ascii="Calibri" w:cs="Calibri" w:hAnsi="Calibri" w:eastAsia="Calibri"/>
          <w:rtl w:val="0"/>
          <w:lang w:val="zh-CN" w:eastAsia="zh-CN"/>
        </w:rPr>
        <w:t>结构</w:t>
      </w: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