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12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240" w:lineRule="auto"/>
        <w:ind w:firstLine="0"/>
        <w:jc w:val="left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drawing>
          <wp:inline distT="0" distB="0" distL="114300" distR="114300">
            <wp:extent cx="2320290" cy="5025390"/>
            <wp:effectExtent l="0" t="0" r="3810" b="3810"/>
            <wp:docPr id="1" name="图片 1" descr="C:\Users\15547\Desktop\57F78E64B6FF33F19870B468F3A0C3E2.png57F78E64B6FF33F19870B468F3A0C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5547\Desktop\57F78E64B6FF33F19870B468F3A0C3E2.png57F78E64B6FF33F19870B468F3A0C3E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</w:rPr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实现</w:t>
      </w:r>
      <w:r>
        <w:rPr>
          <w:rFonts w:hint="eastAsia" w:ascii="宋体" w:hAnsi="宋体" w:eastAsia="宋体" w:cs="宋体"/>
          <w:rtl w:val="0"/>
          <w:lang w:val="zh-TW" w:eastAsia="zh-CN"/>
        </w:rPr>
        <w:t>购物车全选、</w:t>
      </w:r>
      <w:r>
        <w:rPr>
          <w:rFonts w:hint="eastAsia" w:ascii="宋体" w:hAnsi="宋体" w:eastAsia="宋体" w:cs="宋体"/>
          <w:rtl w:val="0"/>
          <w:lang w:val="en-US" w:eastAsia="zh-CN"/>
        </w:rPr>
        <w:t>反选</w:t>
      </w:r>
      <w:bookmarkStart w:id="0" w:name="_GoBack"/>
      <w:bookmarkEnd w:id="0"/>
      <w:r>
        <w:rPr>
          <w:rFonts w:hint="eastAsia" w:ascii="宋体" w:hAnsi="宋体" w:eastAsia="宋体" w:cs="宋体"/>
          <w:rtl w:val="0"/>
          <w:lang w:val="zh-TW" w:eastAsia="zh-CN"/>
        </w:rPr>
        <w:t>功能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要求</w:t>
      </w:r>
      <w:r>
        <w:rPr>
          <w:rFonts w:hint="eastAsia" w:ascii="宋体" w:hAnsi="宋体" w:eastAsia="宋体" w:cs="宋体"/>
          <w:rtl w:val="0"/>
          <w:lang w:val="en-US" w:eastAsia="zh-CN"/>
        </w:rPr>
        <w:t>对组件的正确划分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zh-TW" w:eastAsia="zh-CN"/>
        </w:rPr>
        <w:t>购物车全选、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反选</w:t>
      </w:r>
      <w:r>
        <w:rPr>
          <w:rFonts w:hint="eastAsia" w:ascii="Calibri" w:hAnsi="Calibri" w:eastAsia="Calibri" w:cs="Calibri"/>
          <w:rtl w:val="0"/>
          <w:lang w:val="en-US" w:eastAsia="zh-CN"/>
        </w:rPr>
        <w:t>功能实现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line="500" w:lineRule="exact"/>
        <w:ind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</w:t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CN"/>
        </w:rPr>
        <w:t>购物车全选、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反选</w:t>
      </w:r>
      <w:r>
        <w:rPr>
          <w:rFonts w:hint="eastAsia" w:ascii="Calibri" w:hAnsi="Calibri" w:eastAsia="Calibri" w:cs="Calibri"/>
          <w:rtl w:val="0"/>
          <w:lang w:val="en-US" w:eastAsia="zh-CN"/>
        </w:rPr>
        <w:t>功能实现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6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宋体" w:cs="Calibri"/>
          <w:rtl w:val="0"/>
          <w:lang w:val="en-US" w:eastAsia="zh-CN"/>
        </w:rPr>
        <w:t>组件的正确划分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 3. 数据的正确编写（20分）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97D109B"/>
    <w:rsid w:val="37091CFB"/>
    <w:rsid w:val="7D9D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2017-12-10T05:58:00Z</dcterms:created>
  <dc:creator>15547</dc:creator>
  <cp:lastModifiedBy>15547</cp:lastModifiedBy>
  <dcterms:modified xsi:type="dcterms:W3CDTF">2017-12-10T14:30:34Z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