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12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240" w:lineRule="auto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</w:rPr>
        <w:drawing>
          <wp:inline distT="0" distB="0" distL="114300" distR="114300">
            <wp:extent cx="2759710" cy="4809490"/>
            <wp:effectExtent l="0" t="0" r="2540" b="10160"/>
            <wp:docPr id="1" name="图片 1" descr="390392d2fd9f492c842f296ae1729107_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0392d2fd9f492c842f296ae1729107_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</w:t>
      </w:r>
      <w:r>
        <w:rPr>
          <w:rFonts w:hint="eastAsia" w:ascii="宋体" w:hAnsi="宋体" w:eastAsia="宋体" w:cs="宋体"/>
          <w:rtl w:val="0"/>
          <w:lang w:val="en-US" w:eastAsia="zh-CN"/>
        </w:rPr>
        <w:t>通讯录功能 (可借助第三方插件,可查api)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使用mock数据模拟通讯录json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实现点击右侧导航首字母，列表</w:t>
      </w:r>
      <w:bookmarkStart w:id="0" w:name="_GoBack"/>
      <w:bookmarkEnd w:id="0"/>
      <w:r>
        <w:rPr>
          <w:rFonts w:hint="eastAsia" w:ascii="宋体" w:hAnsi="宋体" w:eastAsia="宋体" w:cs="宋体"/>
          <w:rtl w:val="0"/>
          <w:lang w:val="en-US" w:eastAsia="zh-CN"/>
        </w:rPr>
        <w:t>对应的数据推到顶部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组件的正确编写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宋体" w:cs="Calibri"/>
          <w:rtl w:val="0"/>
          <w:lang w:val="en-US" w:eastAsia="zh-CN"/>
        </w:rPr>
        <w:t>通讯录功能实现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6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 3. props的正确传递（20分）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77148"/>
    <w:rsid w:val="197D109B"/>
    <w:rsid w:val="37091CFB"/>
    <w:rsid w:val="79F019F9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2017-12-13T02:31:08Z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