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18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</w:rPr>
        <w:drawing>
          <wp:inline distT="0" distB="0" distL="114300" distR="114300">
            <wp:extent cx="4092575" cy="8862060"/>
            <wp:effectExtent l="0" t="0" r="3175" b="15240"/>
            <wp:docPr id="1" name="图片 1" descr="76AB1CD293DA20DD22E89119FC165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AB1CD293DA20DD22E89119FC1656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en-US" w:eastAsia="zh-CN"/>
        </w:rPr>
        <w:t>订单列表页下拉刷新功能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使用mock数据模拟列表json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数据要求用fetch请求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实现下拉刷新功能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列表 和 下拉 组件的正确编写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</w:t>
      </w:r>
      <w:r>
        <w:rPr>
          <w:rFonts w:hint="eastAsia" w:ascii="Calibri" w:hAnsi="Calibri" w:eastAsia="宋体" w:cs="Calibri"/>
          <w:rtl w:val="0"/>
          <w:lang w:val="en-US" w:eastAsia="zh-CN"/>
        </w:rPr>
        <w:t>下拉刷新功能的实现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4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请求数据（20）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4. mockjs的正确使用（20）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230320C3"/>
    <w:rsid w:val="31285E0E"/>
    <w:rsid w:val="37091CFB"/>
    <w:rsid w:val="79F019F9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2017-12-18T01:08:39Z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