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-387982</wp:posOffset>
                </wp:positionH>
                <wp:positionV relativeFrom="line">
                  <wp:posOffset>-751205</wp:posOffset>
                </wp:positionV>
                <wp:extent cx="636" cy="10346692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-620392</wp:posOffset>
                </wp:positionH>
                <wp:positionV relativeFrom="line">
                  <wp:posOffset>-732155</wp:posOffset>
                </wp:positionV>
                <wp:extent cx="636" cy="10346692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</w:t>
      </w:r>
      <w:r>
        <w:rPr>
          <w:sz w:val="32"/>
          <w:szCs w:val="32"/>
          <w:rtl w:val="0"/>
          <w:lang w:val="zh-TW" w:eastAsia="zh-TW"/>
        </w:rPr>
        <w:t>6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月《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渐进式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开发课程》第</w:t>
      </w:r>
      <w:r>
        <w:rPr>
          <w:sz w:val="32"/>
          <w:szCs w:val="32"/>
          <w:rtl w:val="0"/>
          <w:lang w:val="zh-CN" w:eastAsia="zh-CN"/>
        </w:rPr>
        <w:t>三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周周考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-2198050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根据上图使用</w:t>
      </w:r>
      <w:r>
        <w:rPr>
          <w:rFonts w:ascii="MS Mincho" w:cs="MS Mincho" w:hAnsi="MS Mincho" w:eastAsia="MS Mincho"/>
          <w:b w:val="1"/>
          <w:bCs w:val="1"/>
          <w:rtl w:val="0"/>
          <w:lang w:val="en-US"/>
        </w:rPr>
        <w:t>ant design</w:t>
      </w:r>
      <w:r>
        <w:rPr>
          <w:rFonts w:ascii="宋体" w:cs="宋体" w:hAnsi="宋体" w:eastAsia="宋体"/>
          <w:rtl w:val="0"/>
          <w:lang w:val="zh-TW" w:eastAsia="zh-TW"/>
        </w:rPr>
        <w:t>实现系统界面的构建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</w:t>
      </w:r>
      <w:r>
        <w:rPr>
          <w:rFonts w:ascii="MS Mincho" w:cs="MS Mincho" w:hAnsi="MS Mincho" w:eastAsia="MS Mincho"/>
          <w:b w:val="1"/>
          <w:bCs w:val="1"/>
          <w:rtl w:val="0"/>
          <w:lang w:val="en-US"/>
        </w:rPr>
        <w:t>ant design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主题为绿色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实现导航功能联动组件的调用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en-US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路由实现（预购管理）页面的跳转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使用列表组件进行展示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en-US"/>
        </w:rPr>
        <w:t>mock</w:t>
      </w:r>
      <w:r>
        <w:rPr>
          <w:rFonts w:ascii="宋体" w:cs="宋体" w:hAnsi="宋体" w:eastAsia="宋体"/>
          <w:rtl w:val="0"/>
          <w:lang w:val="zh-TW" w:eastAsia="zh-TW"/>
        </w:rPr>
        <w:t>完成模拟数据的开发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实现列表分页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关联</w:t>
      </w:r>
      <w:r>
        <w:rPr>
          <w:rFonts w:ascii="宋体" w:cs="宋体" w:hAnsi="宋体" w:eastAsia="宋体"/>
          <w:rtl w:val="0"/>
          <w:lang w:val="en-US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>进行列表数据的展示，以及分页切换</w:t>
      </w: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合理划分组件  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根据上图使用</w:t>
      </w:r>
      <w:r>
        <w:rPr>
          <w:rFonts w:ascii="MS Mincho" w:cs="MS Mincho" w:hAnsi="MS Mincho" w:eastAsia="MS Mincho"/>
          <w:b w:val="1"/>
          <w:bCs w:val="1"/>
          <w:rtl w:val="0"/>
          <w:lang w:val="en-US" w:eastAsia="zh-TW"/>
        </w:rPr>
        <w:t>ant design</w:t>
      </w:r>
      <w:r>
        <w:rPr>
          <w:rFonts w:ascii="宋体" w:cs="宋体" w:hAnsi="宋体" w:eastAsia="宋体"/>
          <w:rtl w:val="0"/>
          <w:lang w:val="zh-TW" w:eastAsia="zh-TW"/>
        </w:rPr>
        <w:t>实现系统界面的构建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</w:t>
      </w:r>
      <w:r>
        <w:rPr>
          <w:rFonts w:ascii="MS Mincho" w:cs="MS Mincho" w:hAnsi="MS Mincho" w:eastAsia="MS Mincho"/>
          <w:b w:val="1"/>
          <w:bCs w:val="1"/>
          <w:rtl w:val="0"/>
          <w:lang w:val="en-US" w:eastAsia="zh-TW"/>
        </w:rPr>
        <w:t>ant design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主题为绿色</w:t>
      </w:r>
      <w:r>
        <w:rPr>
          <w:rFonts w:ascii="宋体" w:cs="宋体" w:hAnsi="宋体" w:eastAsia="宋体"/>
          <w:b w:val="1"/>
          <w:bCs w:val="1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实现导航功能联动组件的调用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en-US" w:eastAsia="zh-TW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路由实现（预购管理）页面的跳转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使用列表组件进行展示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en-US" w:eastAsia="zh-TW"/>
        </w:rPr>
        <w:t>mock</w:t>
      </w:r>
      <w:r>
        <w:rPr>
          <w:rFonts w:ascii="宋体" w:cs="宋体" w:hAnsi="宋体" w:eastAsia="宋体"/>
          <w:rtl w:val="0"/>
          <w:lang w:val="zh-TW" w:eastAsia="zh-TW"/>
        </w:rPr>
        <w:t>完成模拟数据的开发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实现列表分页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关联</w:t>
      </w:r>
      <w:r>
        <w:rPr>
          <w:rFonts w:ascii="宋体" w:cs="宋体" w:hAnsi="宋体" w:eastAsia="宋体"/>
          <w:rtl w:val="0"/>
          <w:lang w:val="en-US" w:eastAsia="zh-TW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 xml:space="preserve">进行列表数据的展示 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en-US" w:eastAsia="zh-TW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>实现分页切换</w:t>
      </w:r>
      <w:r>
        <w:rPr>
          <w:rFonts w:ascii="宋体" w:cs="宋体" w:hAnsi="宋体" w:eastAsia="宋体"/>
          <w:rtl w:val="0"/>
          <w:lang w:val="en-US" w:eastAsia="zh-TW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MS Minch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1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