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2880"/>
        <w:gridCol w:w="2880"/>
        <w:gridCol w:w="2880"/>
      </w:tblGrid>
      <w:tr>
        <w:tc>
          <w:tcPr>
            <w:tcW w:type="dxa" w:w="2880"/>
          </w:tcPr>
          <w:p>
            <w:r>
              <w:t>4</w:t>
            </w:r>
          </w:p>
        </w:tc>
        <w:tc>
          <w:tcPr>
            <w:tcW w:type="dxa" w:w="2880"/>
          </w:tcPr>
          <w:p>
            <w:r>
              <w:t>Zyra Marie None Batacan Ramos</w:t>
            </w:r>
          </w:p>
        </w:tc>
        <w:tc>
          <w:tcPr>
            <w:tcW w:type="dxa" w:w="2880"/>
          </w:tcPr>
          <w:p>
            <w:r>
              <w:t>zairirayy@gmail.com</w:t>
            </w:r>
          </w:p>
        </w:tc>
      </w:tr>
      <w:tr>
        <w:tc>
          <w:tcPr>
            <w:tcW w:type="dxa" w:w="2880"/>
          </w:tcPr>
          <w:p>
            <w:r>
              <w:t>4565677</w:t>
            </w:r>
          </w:p>
        </w:tc>
        <w:tc>
          <w:tcPr>
            <w:tcW w:type="dxa" w:w="2880"/>
          </w:tcPr>
          <w:p>
            <w:r>
              <w:t>2023-03-02 01:48:41.002021</w:t>
            </w:r>
          </w:p>
        </w:tc>
        <w:tc>
          <w:tcPr>
            <w:tcW w:type="dxa" w:w="2880"/>
          </w:tcPr>
          <w:p>
            <w:r>
              <w:t>Low Risk</w:t>
            </w:r>
          </w:p>
        </w:tc>
      </w:tr>
    </w:tbl>
    <w:p/>
    <w:tbl>
      <w:tblPr>
        <w:tblStyle w:val="TableGrid"/>
        <w:tblW w:type="auto" w:w="0"/>
        <w:tblLook w:firstColumn="1" w:firstRow="1" w:lastColumn="0" w:lastRow="0" w:noHBand="0" w:noVBand="1" w:val="04A0"/>
      </w:tblPr>
      <w:tblGrid>
        <w:gridCol w:w="4320"/>
        <w:gridCol w:w="4320"/>
      </w:tblGrid>
      <w:tr>
        <w:tc>
          <w:tcPr>
            <w:tcW w:type="dxa" w:w="4320"/>
          </w:tcPr>
          <w:p>
            <w:r>
              <w:t>QUESTIONS</w:t>
            </w:r>
          </w:p>
        </w:tc>
        <w:tc>
          <w:tcPr>
            <w:tcW w:type="dxa" w:w="4320"/>
          </w:tcPr>
          <w:p>
            <w:r>
              <w:t>ANSWER</w:t>
            </w:r>
          </w:p>
        </w:tc>
      </w:tr>
      <w:tr>
        <w:tc>
          <w:tcPr>
            <w:tcW w:type="dxa" w:w="4320"/>
          </w:tcPr>
          <w:p>
            <w:r>
              <w:t>Have you been capable of finding humor and laughing about situations?</w:t>
            </w:r>
          </w:p>
        </w:tc>
        <w:tc>
          <w:tcPr>
            <w:tcW w:type="dxa" w:w="4320"/>
          </w:tcPr>
          <w:p>
            <w:r>
              <w:t>(1) Rather less than I used to</w:t>
            </w:r>
          </w:p>
        </w:tc>
      </w:tr>
      <w:tr>
        <w:tc>
          <w:tcPr>
            <w:tcW w:type="dxa" w:w="4320"/>
          </w:tcPr>
          <w:p>
            <w:r>
              <w:t>Have you anticipated things with pleasure and excitement?</w:t>
            </w:r>
          </w:p>
        </w:tc>
        <w:tc>
          <w:tcPr>
            <w:tcW w:type="dxa" w:w="4320"/>
          </w:tcPr>
          <w:p>
            <w:r>
              <w:t>(1) Not very often</w:t>
            </w:r>
          </w:p>
        </w:tc>
      </w:tr>
      <w:tr>
        <w:tc>
          <w:tcPr>
            <w:tcW w:type="dxa" w:w="4320"/>
          </w:tcPr>
          <w:p>
            <w:r>
              <w:t>Have you needlessly held yourself responsible when things didn't go well?</w:t>
            </w:r>
          </w:p>
        </w:tc>
        <w:tc>
          <w:tcPr>
            <w:tcW w:type="dxa" w:w="4320"/>
          </w:tcPr>
          <w:p>
            <w:r>
              <w:t>(1) Hardly ever</w:t>
            </w:r>
          </w:p>
        </w:tc>
      </w:tr>
      <w:tr>
        <w:tc>
          <w:tcPr>
            <w:tcW w:type="dxa" w:w="4320"/>
          </w:tcPr>
          <w:p>
            <w:r>
              <w:t>Have you experienced anxiety or concern without a valid cause?</w:t>
            </w:r>
          </w:p>
        </w:tc>
        <w:tc>
          <w:tcPr>
            <w:tcW w:type="dxa" w:w="4320"/>
          </w:tcPr>
          <w:p>
            <w:r>
              <w:t>(3) Yes, quite a lot</w:t>
            </w:r>
          </w:p>
        </w:tc>
      </w:tr>
      <w:tr>
        <w:tc>
          <w:tcPr>
            <w:tcW w:type="dxa" w:w="4320"/>
          </w:tcPr>
          <w:p>
            <w:r>
              <w:t>Have you experienced fear or panic without a clear or justifiable reason?</w:t>
            </w:r>
          </w:p>
        </w:tc>
        <w:tc>
          <w:tcPr>
            <w:tcW w:type="dxa" w:w="4320"/>
          </w:tcPr>
          <w:p>
            <w:r>
              <w:t>(0) No, I have been coping as well as ever</w:t>
            </w:r>
          </w:p>
        </w:tc>
      </w:tr>
      <w:tr>
        <w:tc>
          <w:tcPr>
            <w:tcW w:type="dxa" w:w="4320"/>
          </w:tcPr>
          <w:p>
            <w:r>
              <w:t>Have things been overwhelming you?</w:t>
            </w:r>
          </w:p>
        </w:tc>
        <w:tc>
          <w:tcPr>
            <w:tcW w:type="dxa" w:w="4320"/>
          </w:tcPr>
          <w:p>
            <w:r>
              <w:t>(0) No, not at all</w:t>
            </w:r>
          </w:p>
        </w:tc>
      </w:tr>
      <w:tr>
        <w:tc>
          <w:tcPr>
            <w:tcW w:type="dxa" w:w="4320"/>
          </w:tcPr>
          <w:p>
            <w:r>
              <w:t>Have you been so unhappy that you have experienced trouble sleeping?</w:t>
            </w:r>
          </w:p>
        </w:tc>
        <w:tc>
          <w:tcPr>
            <w:tcW w:type="dxa" w:w="4320"/>
          </w:tcPr>
          <w:p>
            <w:r>
              <w:t>(0) No, not at all</w:t>
            </w:r>
          </w:p>
        </w:tc>
      </w:tr>
      <w:tr>
        <w:tc>
          <w:tcPr>
            <w:tcW w:type="dxa" w:w="4320"/>
          </w:tcPr>
          <w:p>
            <w:r>
              <w:t>Have you experienced feelings of sadness or misery?</w:t>
            </w:r>
          </w:p>
        </w:tc>
        <w:tc>
          <w:tcPr>
            <w:tcW w:type="dxa" w:w="4320"/>
          </w:tcPr>
          <w:p>
            <w:r>
              <w:t>(0) No, never</w:t>
            </w:r>
          </w:p>
        </w:tc>
      </w:tr>
      <w:tr>
        <w:tc>
          <w:tcPr>
            <w:tcW w:type="dxa" w:w="4320"/>
          </w:tcPr>
          <w:p>
            <w:r>
              <w:t>Have you been so unhappy that you have shed tears?</w:t>
            </w:r>
          </w:p>
        </w:tc>
        <w:tc>
          <w:tcPr>
            <w:tcW w:type="dxa" w:w="4320"/>
          </w:tcPr>
          <w:p>
            <w:r>
              <w:t>(0) No, never</w:t>
            </w:r>
          </w:p>
        </w:tc>
      </w:tr>
      <w:tr>
        <w:tc>
          <w:tcPr>
            <w:tcW w:type="dxa" w:w="4320"/>
          </w:tcPr>
          <w:p>
            <w:r>
              <w:t>EPDS Score</w:t>
            </w:r>
          </w:p>
        </w:tc>
        <w:tc>
          <w:tcPr>
            <w:tcW w:type="dxa" w:w="4320"/>
          </w:tcPr>
          <w:p>
            <w:r>
              <w:t xml:space="preserve">(6) </w:t>
            </w:r>
          </w:p>
        </w:tc>
      </w:tr>
    </w:tbl>
    <w:p>
      <w:pPr>
        <w:jc w:val="both"/>
      </w:pPr>
      <w:r>
        <w:t>Thank you for answering questions. Based on the conversation with me, You are possible to have a Low Risk level on mental health problem, learning about developing symptoms, or early warning signs, and taking action can help to ensure prompt treatment. Early intervention can help reduce the severity of this problem and interruptions in quality of life and functions. It may even be possible to delay or prevent a major mental illness altogether. Most mental problem don't improve on their own, and if untreated, a mental illness may get worse over time and cause serious problems.</w:t>
      </w:r>
    </w:p>
    <w:tbl>
      <w:tblPr>
        <w:tblStyle w:val="TableGrid"/>
        <w:tblW w:type="auto" w:w="0"/>
        <w:tblLook w:firstColumn="1" w:firstRow="1" w:lastColumn="0" w:lastRow="0" w:noHBand="0" w:noVBand="1" w:val="04A0"/>
      </w:tblPr>
      <w:tblGrid>
        <w:gridCol w:w="2880"/>
        <w:gridCol w:w="2880"/>
        <w:gridCol w:w="2880"/>
      </w:tblGrid>
      <w:tr>
        <w:tc>
          <w:tcPr>
            <w:tcW w:type="dxa" w:w="2880"/>
          </w:tcPr>
          <w:p>
            <w:r>
              <w:t>EPDS Score</w:t>
            </w:r>
          </w:p>
        </w:tc>
        <w:tc>
          <w:tcPr>
            <w:tcW w:type="dxa" w:w="2880"/>
          </w:tcPr>
          <w:p>
            <w:r>
              <w:t>Interpretation</w:t>
            </w:r>
          </w:p>
        </w:tc>
        <w:tc>
          <w:tcPr>
            <w:tcW w:type="dxa" w:w="2880"/>
          </w:tcPr>
          <w:p>
            <w:r>
              <w:t>Action</w:t>
            </w:r>
          </w:p>
        </w:tc>
      </w:tr>
      <w:tr>
        <w:tc>
          <w:tcPr>
            <w:tcW w:type="dxa" w:w="2880"/>
          </w:tcPr>
          <w:p>
            <w:r>
              <w:t>Less than 8</w:t>
            </w:r>
          </w:p>
        </w:tc>
        <w:tc>
          <w:tcPr>
            <w:tcW w:type="dxa" w:w="2880"/>
          </w:tcPr>
          <w:p>
            <w:r>
              <w:t>Depression not likely</w:t>
            </w:r>
          </w:p>
        </w:tc>
        <w:tc>
          <w:tcPr>
            <w:tcW w:type="dxa" w:w="2880"/>
          </w:tcPr>
          <w:p>
            <w:r>
              <w:t>Continue support</w:t>
            </w:r>
          </w:p>
        </w:tc>
      </w:tr>
      <w:tr>
        <w:tc>
          <w:tcPr>
            <w:tcW w:type="dxa" w:w="2880"/>
          </w:tcPr>
          <w:p>
            <w:r>
              <w:t>9-11</w:t>
            </w:r>
          </w:p>
        </w:tc>
        <w:tc>
          <w:tcPr>
            <w:tcW w:type="dxa" w:w="2880"/>
          </w:tcPr>
          <w:p>
            <w:r>
              <w:t>Depression possible</w:t>
            </w:r>
          </w:p>
        </w:tc>
        <w:tc>
          <w:tcPr>
            <w:tcW w:type="dxa" w:w="2880"/>
          </w:tcPr>
          <w:p>
            <w:r>
              <w:t>Support, re-screen in 2–4 weeks. Consider referral to primary care provide(PCP).</w:t>
            </w:r>
          </w:p>
        </w:tc>
      </w:tr>
      <w:tr>
        <w:tc>
          <w:tcPr>
            <w:tcW w:type="dxa" w:w="2880"/>
          </w:tcPr>
          <w:p>
            <w:r>
              <w:t>12-13</w:t>
            </w:r>
          </w:p>
        </w:tc>
        <w:tc>
          <w:tcPr>
            <w:tcW w:type="dxa" w:w="2880"/>
          </w:tcPr>
          <w:p>
            <w:r>
              <w:t>Fairly high possibility of depression</w:t>
            </w:r>
          </w:p>
        </w:tc>
        <w:tc>
          <w:tcPr>
            <w:tcW w:type="dxa" w:w="2880"/>
          </w:tcPr>
          <w:p>
            <w:r>
              <w:t>Monitor, support and offer education. Refer to PCP.</w:t>
            </w:r>
          </w:p>
        </w:tc>
      </w:tr>
      <w:tr>
        <w:tc>
          <w:tcPr>
            <w:tcW w:type="dxa" w:w="2880"/>
          </w:tcPr>
          <w:p>
            <w:r>
              <w:t>14 and higher (positive screen)</w:t>
            </w:r>
          </w:p>
        </w:tc>
        <w:tc>
          <w:tcPr>
            <w:tcW w:type="dxa" w:w="2880"/>
          </w:tcPr>
          <w:p>
            <w:r>
              <w:t>Probable depression</w:t>
            </w:r>
          </w:p>
        </w:tc>
        <w:tc>
          <w:tcPr>
            <w:tcW w:type="dxa" w:w="2880"/>
          </w:tcPr>
          <w:p>
            <w:r>
              <w:t>Diagnostic assessment and treatment by PCP and/or specialist.</w:t>
            </w:r>
          </w:p>
        </w:tc>
      </w:tr>
      <w:tr>
        <w:tc>
          <w:tcPr>
            <w:tcW w:type="dxa" w:w="2880"/>
          </w:tcPr>
          <w:p>
            <w:r>
              <w:t>Positive score (1, 2 or 3) on question 10 (suicidality risk)</w:t>
            </w:r>
          </w:p>
        </w:tc>
        <w:tc>
          <w:tcPr>
            <w:tcW w:type="dxa" w:w="2880"/>
          </w:tcPr>
          <w:p>
            <w:r/>
          </w:p>
        </w:tc>
        <w:tc>
          <w:tcPr>
            <w:tcW w:type="dxa" w:w="2880"/>
          </w:tcPr>
          <w:p>
            <w:r>
              <w:t>Immediate referral is necessary for assessment of suicidal ideation. This is to ensure proper intervention and to consider factors such as plan, history, symptoms, and potential harm.</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