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</w:t>
        <w:t>哎呀，看起来数据库里暂时还没有201所的项目数据呢，所以现在没办法生成报告哦。不过，一旦有了更新，就能详细地了解到项目的状态，包括那些正在执行的、型号研制的、涉火的，还有哪些是重点跟踪、新增或拖期的项目。期待数据快点更新，到时候就能给你满满的信息啦！</w:t>
      </w:r>
      <w:r>
        <w:rPr>
          <w:b/>
        </w:rPr>
        <w:t>项目来源情况</w:t>
        <w:t>哎呀，看起来我们的数据暂时还没有项目来源的信息哦，等有了新数据，我一定能帮你做出超棒的总结！</w:t>
      </w:r>
      <w:r>
        <w:rPr>
          <w:b/>
        </w:rPr>
        <w:t>责任单位任务承担情况</w:t>
        <w:t>哎呀，看来我们的数据库里暂时还没有责任单位任务承担情况的数据，没办法给你提供详细的总结了。不过，如果有新的数据进来，我一定第一时间帮你分析！</w:t>
      </w:r>
      <w:r>
        <w:rPr>
          <w:b/>
        </w:rPr>
        <w:t>项目经费执行情况</w:t>
        <w:t>在项目经费执行情况的总结中，地方企事业单位的经费使用达到了4620单位，占总经费61892单位的一部分。这表明，虽然地方企事业单位在经费使用上有所贡献，但仍有大部分经费用于其他方面或尚未执行。需要进一步分析经费的具体流向和使用效率，以确保项目资金的有效管理和使用。</w:t>
      </w:r>
    </w:p>
    <w:p>
      <w:pPr>
        <w:jc w:val="center"/>
      </w:pPr>
      <w:r>
        <w:rPr>
          <w:b/>
        </w:rPr>
        <w:t>项目来源情况柱状图</w:t>
      </w:r>
    </w:p>
    <w:p>
      <w:pPr>
        <w:jc w:val="center"/>
      </w:pPr>
      <w:r>
        <w:rPr>
          <w:b/>
        </w:rPr>
        <w:t>项目来源情况柱状图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