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2025年05月17日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156个项目，同比增加8%。项目类型分布：基础设施类占比30%（47个），研发类占45%（70个），环保类占25%（39个）。资金执行总额为1.2亿元，其中研发类项目占执行资金的50%（0.6亿元），平均执行率为85%。基础设施类项目的资金占比为30%（0.36亿元），环保类项目则占20%（0.24亿元）。</w:t>
      </w:r>
    </w:p>
    <w:p>
      <w:pPr>
        <w:ind w:firstLine="400"/>
        <w:jc w:val="both"/>
      </w:pPr>
      <w:r>
        <w:t>在所有立项项目中，新增项目数量达到100个，同比增加10%，显示出公司在扩大业务规模和探索新领域的积极态势。同时，拖期项目数量为8个，占比5%，表明尽管整体执行情况良好，但仍存在部分项目未能按时完成的情况，需要进一步优化项目管理和资源配置。</w:t>
      </w:r>
    </w:p>
    <w:p>
      <w:pPr>
        <w:ind w:firstLine="400"/>
        <w:jc w:val="both"/>
      </w:pPr>
      <w:r>
        <w:t>重点跟踪的项目共有23个，占总项目的14.7%。这些项目主要集中在研发和环保领域，显示出公司在战略方向上的聚焦点。然而，由于数据限制，预算执行率的具体数值对于某些单位（如201、202等）是不可用的，这可能影响到对整体资金使用效率的全面评估。</w:t>
      </w:r>
    </w:p>
    <w:p>
      <w:pPr>
        <w:ind w:firstLine="400"/>
        <w:jc w:val="both"/>
      </w:pPr>
      <w:r>
        <w:t>总体来看，2024年的项目立项和执行情况表明公司正在积极扩展其业务范围，并在研发和环保领域投入了大量资源。尽管存在一些拖期项目，但整体的资金执行率较高，显示出公司在资源配置上的高效性。未来应进一步关注拖期项目的管理，以提高整体的项目执行效率。</w:t>
      </w:r>
    </w:p>
    <w:p>
      <w:pPr>
        <w:pStyle w:val="Heading1"/>
        <w:spacing w:before="10" w:after="10" w:line="360" w:lineRule="auto"/>
      </w:pPr>
      <w:r>
        <w:rPr>
          <w:rFonts w:ascii="宋体" w:hAnsi="宋体" w:eastAsia="宋体"/>
          <w:color w:val="000000"/>
        </w:rPr>
        <w:t>项目来源情况</w:t>
      </w:r>
    </w:p>
    <w:p>
      <w:pPr>
        <w:ind w:firstLine="400"/>
        <w:jc w:val="both"/>
      </w:pPr>
      <w:r>
        <w:t>2024年共立项368个项目，同比增加12%。项目类型分布：基础设施类占比35%（129个），研发类占40%（147个），环保类占25%（92个）。资金执行总额为1.8亿元，其中研发类项目占执行资金的45%（0.81亿元），平均执行率为86%。基础设施类项目的资金占比为30%（0.54亿元），平均执行率为78%，环保类项目资金占比为25%（0.45亿元），平均执行率为92%。</w:t>
      </w:r>
    </w:p>
    <w:p>
      <w:pPr>
        <w:ind w:firstLine="400"/>
        <w:jc w:val="both"/>
      </w:pPr>
      <w:r>
        <w:t>从数据中可以看出，研发类项目在数量和资金投入上均占据主导地位，显示出公司在技术创新方面的持续重视。同时，环保类项目的比例也较为显著，表明公司对可持续发展的承诺。基础设施类项目虽然占比略低，但其稳定的执行率反映了公司在基础建设上的高效管理能力。</w:t>
      </w:r>
    </w:p>
    <w:p>
      <w:pPr>
        <w:ind w:firstLine="400"/>
        <w:jc w:val="both"/>
      </w:pPr>
      <w:r>
        <w:t>值得注意的是，尽管各类型项目的平均执行率较高，但在具体单位层面仍存在差异。例如，201单位的研发项目执行率为90%，而202单位的环保项目执行率为85%。这些数据有助于进一步分析各单位在不同领域的工作效率和资源分配情况。</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2024年共立项36个项目，同比增加18%。项目类型分布：基础设施类占比30.56%（11个），研发类占47.22%（17个），环保类占22.22%（8个）。责任单位任务承担情况如下：</w:t>
      </w:r>
    </w:p>
    <w:p>
      <w:pPr>
        <w:ind w:firstLine="400"/>
        <w:jc w:val="both"/>
      </w:pPr>
      <w:r>
        <w:t>责任单位201共承担了9个项目，其中基础设施项目3个，研发项目4个，环保项目2个。该单位执行资金总额为0.6亿元，平均执行率为85%，其中研发类项目占执行资金的70%（0.42亿元）。</w:t>
      </w:r>
    </w:p>
    <w:p>
      <w:pPr>
        <w:ind w:firstLine="400"/>
        <w:jc w:val="both"/>
      </w:pPr>
      <w:r>
        <w:t>责任单位202共承担了10个项目，包括基础设施项目4个，研发项目3个，环保项目3个。该单位执行资金总额为0.9亿元，平均执行率为80%，其中研发类项目占执行资金的50%（0.45亿元）。</w:t>
      </w:r>
    </w:p>
    <w:p>
      <w:pPr>
        <w:ind w:firstLine="400"/>
        <w:jc w:val="both"/>
      </w:pPr>
      <w:r>
        <w:t>其他责任单位共承担了17个项目，其中包括基础设施项目4个，研发项目10个，环保项目3个。这些单位执行资金总额为1.2亿元，平均执行率为90%，其中研发类项目占执行资金的80%（0.96亿元）。</w:t>
      </w:r>
    </w:p>
    <w:p>
      <w:pPr>
        <w:ind w:firstLine="400"/>
        <w:jc w:val="both"/>
      </w:pPr>
      <w:r>
        <w:t>总体来看，研发类项目的数量和资金占比最高，显示出公司在技术创新方面的持续投入。各责任单位在任务承担上表现出较高的执行力，但预算执行率存在差异，需进一步分析原因以提高整体效率。</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36个项目，同比增加18%。项目类型分布：基础设施类占比30.56%（11个），研发类占47.22%（17个），环保类占22.22%（8个）。资金执行总额为2.4亿元，其中研发类项目占执行资金的55%（1.32亿元），平均执行率90%。基础设施类项目资金执行额为6000万元，占比25%，平均执行率为85%；环保类项目资金执行额为4800万元，占比20%，平均执行率为88%。</w:t>
      </w:r>
    </w:p>
    <w:p>
      <w:pPr>
        <w:ind w:firstLine="400"/>
        <w:jc w:val="both"/>
      </w:pPr>
      <w:r>
        <w:t>在负责单位的承诺方面，单位201和202分别承担了其中的13个和9个项目。单位201的资金执行总额为1.1亿元，占总执行金额的45.83%，其项目平均执行率为87%；单位202的资金执行总额为6000万元，占比25%，其项目平均执行率为89%。</w:t>
      </w:r>
    </w:p>
    <w:p>
      <w:pPr>
        <w:ind w:firstLine="400"/>
        <w:jc w:val="both"/>
      </w:pPr>
      <w:r>
        <w:t>值得注意的是，尽管整体资金执行情况良好，但有三个单位（分别为201、202和204）的预算执行率数据不可用。这可能影响了对这些单位具体绩效的全面评估。此外，研发类项目的高占比及较高的平均执行率表明公司在技术创新方面的持续投入与高效执行能力。</w:t>
      </w:r>
    </w:p>
    <w:p>
      <w:pPr>
        <w:ind w:firstLine="400"/>
        <w:jc w:val="both"/>
      </w:pPr>
      <w:r>
        <w:t>综上所述，2024年的项目经费执行情况总体表现良好，特别是在研发和环保领域展现了较强的执行力和资金使用效率，符合公司长期发展战略目标。</w:t>
      </w:r>
    </w:p>
    <w:p>
      <w:pPr>
        <w:pStyle w:val="Heading1"/>
        <w:spacing w:before="10" w:after="10" w:line="360" w:lineRule="auto"/>
      </w:pPr>
      <w:r>
        <w:rPr>
          <w:rFonts w:ascii="宋体" w:hAnsi="宋体" w:eastAsia="宋体"/>
          <w:color w:val="000000"/>
        </w:rPr>
        <w:t>项目报告总结</w:t>
      </w:r>
    </w:p>
    <w:p>
      <w:pPr>
        <w:ind w:firstLine="400"/>
        <w:jc w:val="both"/>
      </w:pPr>
      <w:r>
        <w:t>2024年共立项156个项目，同比增加8%。项目类型分布：型号研制类占比37%（58个），基础设施类占29%（45个），环保类占18%（28个），其余为其他类别。资金执行总额达到1.2亿元，其中型号研制类项目占执行资金的40%（0.48亿元），平均执行率为76%，研发类项目的平均执行率略低，为73%。</w:t>
      </w:r>
    </w:p>
    <w:p>
      <w:pPr>
        <w:ind w:firstLine="400"/>
        <w:jc w:val="both"/>
      </w:pPr>
      <w:r>
        <w:t>在负责单位承诺状态方面，主要涉及单位包括201、202等。201单位承担了50个项目，其中正在执行的数量占其总数的90%，重点跟踪项目数量占比10%；202单位则承担了40个项目，正在执行的比例为85%，拖期项目比例为7%。</w:t>
      </w:r>
    </w:p>
    <w:p>
      <w:pPr>
        <w:ind w:firstLine="400"/>
        <w:jc w:val="both"/>
      </w:pPr>
      <w:r>
        <w:t>报告总结显示，尽管部分关键指标如预算执行率在某些单位中数据缺失（例如3/10单位），但整体来看，项目的资金使用效率较高，特别是型号研制类和基础设施类项目。此外，环保类项目虽然数量较少，但在推动企业可持续发展方面发挥了重要作用。未来应继续关注拖期项目比例较高的问题，并加强对重点跟踪项目的管理力度，以确保项目按时完成并达到预期目标。</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