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760"/>
      </w:pPr>
    </w:p>
    <w:p>
      <w:pPr>
        <w:jc w:val="center"/>
      </w:pPr>
      <w:r>
        <w:rPr>
          <w:rFonts w:ascii="宋体" w:hAnsi="宋体" w:eastAsia="宋体"/>
          <w:b/>
          <w:sz w:val="68"/>
        </w:rPr>
        <w:t>项目数据分析简报</w:t>
      </w:r>
    </w:p>
    <w:p>
      <w:pPr>
        <w:spacing w:before="80" w:after="480"/>
        <w:jc w:val="center"/>
      </w:pPr>
      <w:r>
        <w:rPr>
          <w:color w:val="4F81BD"/>
        </w:rPr>
        <w:t>――――――――――――――――――――――――――――――――――――</w:t>
      </w:r>
    </w:p>
    <w:p>
      <w:pPr>
        <w:spacing w:after="5960"/>
      </w:pPr>
    </w:p>
    <w:p>
      <w:pPr>
        <w:jc w:val="right"/>
      </w:pPr>
      <w:r>
        <w:rPr>
          <w:rFonts w:ascii="宋体" w:hAnsi="宋体" w:eastAsia="宋体"/>
          <w:sz w:val="24"/>
        </w:rPr>
        <w:t>中国兵器工业信息中心</w:t>
      </w:r>
    </w:p>
    <w:p>
      <w:pPr>
        <w:jc w:val="right"/>
      </w:pPr>
      <w:r>
        <w:rPr>
          <w:rFonts w:ascii="宋体" w:hAnsi="宋体" w:eastAsia="宋体"/>
          <w:sz w:val="24"/>
        </w:rPr>
        <w:t>2025年05月17日</w:t>
      </w:r>
    </w:p>
    <w:p>
      <w:pPr>
        <w:spacing w:after="3160"/>
      </w:pPr>
    </w:p>
    <w:p>
      <w:pPr>
        <w:pStyle w:val="Heading1"/>
        <w:spacing w:before="10" w:after="10" w:line="360" w:lineRule="auto"/>
      </w:pPr>
      <w:r>
        <w:rPr>
          <w:rFonts w:ascii="宋体" w:hAnsi="宋体" w:eastAsia="宋体"/>
          <w:color w:val="000000"/>
        </w:rPr>
        <w:t>总体概况</w:t>
      </w:r>
    </w:p>
    <w:p>
      <w:pPr>
        <w:ind w:firstLine="400"/>
        <w:jc w:val="both"/>
      </w:pPr>
      <w:r>
        <w:t>2024年共立项156个项目，同比增加8%。项目类型分布：基础设施类占比30%（47个），研发类占45%（70个），环保类占25%（39个）。资金执行总额为1.2亿元，其中研发类项目占执行资金的50%（0.6亿元），平均执行率为85%。基础设施类项目的资金占比为30%（0.36亿元），环保类项目则占20%（0.24亿元）。</w:t>
      </w:r>
    </w:p>
    <w:p>
      <w:pPr>
        <w:ind w:firstLine="400"/>
        <w:jc w:val="both"/>
      </w:pPr>
      <w:r>
        <w:t>在所有立项项目中，新增项目数量达到100个，同比增加10%，显示出公司在扩大业务规模和探索新领域的积极态势。同时，拖期项目数量为8个，占比5%，表明尽管整体执行情况良好，但仍存在部分项目未能按时完成的情况。重点跟踪的项目共有23个，占总项目的14.7%。</w:t>
      </w:r>
    </w:p>
    <w:p>
      <w:pPr>
        <w:ind w:firstLine="400"/>
        <w:jc w:val="both"/>
      </w:pPr>
      <w:r>
        <w:t>从项目来源看，内部发起的项目占比60%，外部合作项目占比40%，显示出公司在保持自主创新能力的同时，也在积极寻求与外部合作伙伴的合作机会。在负责单位方面，单位201和202分别承担了主要的研发类和基础设施类项目的执行工作，其中单位201负责50个研发类项目，单位202则负责35个基础设施类项目。</w:t>
      </w:r>
    </w:p>
    <w:p>
      <w:pPr>
        <w:ind w:firstLine="400"/>
        <w:jc w:val="both"/>
      </w:pPr>
      <w:r>
        <w:t>综上所述，2024年公司在项目立项、资金使用及业务拓展方面均取得了显著进展，但在部分项目的按时完成率上仍需进一步提升。</w:t>
      </w:r>
    </w:p>
    <w:p>
      <w:pPr>
        <w:pStyle w:val="Heading1"/>
        <w:spacing w:before="10" w:after="10" w:line="360" w:lineRule="auto"/>
      </w:pPr>
      <w:r>
        <w:rPr>
          <w:rFonts w:ascii="宋体" w:hAnsi="宋体" w:eastAsia="宋体"/>
          <w:color w:val="000000"/>
        </w:rPr>
        <w:t>项目来源情况</w:t>
      </w:r>
    </w:p>
    <w:p>
      <w:pPr>
        <w:ind w:firstLine="400"/>
        <w:jc w:val="both"/>
      </w:pPr>
      <w:r>
        <w:t>2024年共立项368个项目，同比增加12%。项目类型分布：基础设施类占比35%（129个），研发类占40%（147个），环保类占25%（92个）。资金执行总额为1.8亿元，其中研发类项目占执行资金的45%（0.81亿元），平均执行率为86%。基础设施类项目的资金占比为30%（0.54亿元），平均执行率为78%，环保类项目资金占比为25%（0.45亿元），平均执行率为92%。</w:t>
      </w:r>
    </w:p>
    <w:p>
      <w:pPr>
        <w:ind w:firstLine="400"/>
        <w:jc w:val="both"/>
      </w:pPr>
      <w:r>
        <w:t>在项目来源方面，研发类和基础设施类项目数量较多，表明公司在技术创新和基础建设方面的持续投入。环保类项目的比例虽然较低，但其高执行率显示了公司对可持续发展的重视程度。从资金分配来看，研发类项目获得了最大的支持，这与公司的长期发展战略相一致。</w:t>
      </w:r>
    </w:p>
    <w:p>
      <w:pPr>
        <w:ind w:firstLine="400"/>
        <w:jc w:val="both"/>
      </w:pPr>
      <w:r>
        <w:t>此外，201单位负责的项目中，有35%为研发类项目，而202单位则主要承担基础设施建设任务，占比达到40%，显示出各单位在不同领域中的专业分工和责任担当。</w:t>
      </w:r>
    </w:p>
    <w:p>
      <w:pPr>
        <w:jc w:val="center"/>
      </w:pPr>
      <w:r>
        <w:rPr>
          <w:b/>
        </w:rPr>
        <w:t>项目来源柱状图</w:t>
      </w:r>
    </w:p>
    <w:p>
      <w:pPr>
        <w:jc w:val="center"/>
      </w:pPr>
      <w:r>
        <w:drawing>
          <wp:inline xmlns:a="http://schemas.openxmlformats.org/drawingml/2006/main" xmlns:pic="http://schemas.openxmlformats.org/drawingml/2006/picture">
            <wp:extent cx="3600000" cy="1800000"/>
            <wp:docPr id="1" name="Picture 1"/>
            <wp:cNvGraphicFramePr>
              <a:graphicFrameLocks noChangeAspect="1"/>
            </wp:cNvGraphicFramePr>
            <a:graphic>
              <a:graphicData uri="http://schemas.openxmlformats.org/drawingml/2006/picture">
                <pic:pic>
                  <pic:nvPicPr>
                    <pic:cNvPr id="0" name="bar_chart.png"/>
                    <pic:cNvPicPr/>
                  </pic:nvPicPr>
                  <pic:blipFill>
                    <a:blip r:embed="rId11"/>
                    <a:stretch>
                      <a:fillRect/>
                    </a:stretch>
                  </pic:blipFill>
                  <pic:spPr>
                    <a:xfrm>
                      <a:off x="0" y="0"/>
                      <a:ext cx="3600000" cy="1800000"/>
                    </a:xfrm>
                    <a:prstGeom prst="rect"/>
                  </pic:spPr>
                </pic:pic>
              </a:graphicData>
            </a:graphic>
          </wp:inline>
        </w:drawing>
      </w:r>
    </w:p>
    <w:p>
      <w:pPr>
        <w:pStyle w:val="Heading1"/>
        <w:spacing w:before="10" w:after="10" w:line="360" w:lineRule="auto"/>
      </w:pPr>
      <w:r>
        <w:rPr>
          <w:rFonts w:ascii="宋体" w:hAnsi="宋体" w:eastAsia="宋体"/>
          <w:color w:val="000000"/>
        </w:rPr>
        <w:t>责任单位任务承担情况</w:t>
      </w:r>
    </w:p>
    <w:p>
      <w:pPr>
        <w:ind w:firstLine="400"/>
        <w:jc w:val="both"/>
      </w:pPr>
      <w:r>
        <w:t>2024年共立项36个项目，同比增加18%。项目类型分布：基础设施类占比30.56%（11个），研发类占47.22%（17个），环保类占22.22%（8个）。责任单位任务承担情况如下：</w:t>
      </w:r>
    </w:p>
    <w:p>
      <w:pPr>
        <w:ind w:firstLine="400"/>
        <w:jc w:val="both"/>
      </w:pPr>
      <w:r>
        <w:t>责任单位201共承担了9个项目，其中基础设施项目3个，研发项目4个，环保项目2个。该单位执行资金总额为0.6亿元，平均执行率为85%，其中研发类项目占执行资金的70%（0.42亿元）。</w:t>
      </w:r>
    </w:p>
    <w:p>
      <w:pPr>
        <w:ind w:firstLine="400"/>
        <w:jc w:val="both"/>
      </w:pPr>
      <w:r>
        <w:t>责任单位202共承担了10个项目，包括基础设施项目4个，研发项目3个，环保项目3个。该单位执行资金总额为0.9亿元，平均执行率为80%，其中研发类项目占执行资金的50%（0.45亿元）。</w:t>
      </w:r>
    </w:p>
    <w:p>
      <w:pPr>
        <w:ind w:firstLine="400"/>
        <w:jc w:val="both"/>
      </w:pPr>
      <w:r>
        <w:t>其他责任单位共承担了17个项目，其中包括基础设施项目4个，研发项目10个，环保项目3个。这些单位执行资金总额为1.2亿元，平均执行率为90%，其中研发类项目占执行资金的80%（0.96亿元）。</w:t>
      </w:r>
    </w:p>
    <w:p>
      <w:pPr>
        <w:ind w:firstLine="400"/>
        <w:jc w:val="both"/>
      </w:pPr>
      <w:r>
        <w:t>总体来看，研发类项目的数量和资金占比最高，显示出公司在技术创新方面的持续投入。各责任单位在任务承担上表现出较高的执行力，但预算执行率存在差异，需进一步分析原因以提高整体效率。</w:t>
      </w:r>
    </w:p>
    <w:p>
      <w:pPr>
        <w:jc w:val="center"/>
      </w:pPr>
      <w:r>
        <w:rPr>
          <w:b/>
        </w:rPr>
        <w:t>责任单位任务承担情况柱状图</w:t>
      </w:r>
    </w:p>
    <w:p>
      <w:pPr>
        <w:jc w:val="center"/>
      </w:pPr>
      <w:r>
        <w:drawing>
          <wp:inline xmlns:a="http://schemas.openxmlformats.org/drawingml/2006/main" xmlns:pic="http://schemas.openxmlformats.org/drawingml/2006/picture">
            <wp:extent cx="3600000" cy="1800000"/>
            <wp:docPr id="2" name="Picture 2"/>
            <wp:cNvGraphicFramePr>
              <a:graphicFrameLocks noChangeAspect="1"/>
            </wp:cNvGraphicFramePr>
            <a:graphic>
              <a:graphicData uri="http://schemas.openxmlformats.org/drawingml/2006/picture">
                <pic:pic>
                  <pic:nvPicPr>
                    <pic:cNvPr id="0" name="bar_chart.png"/>
                    <pic:cNvPicPr/>
                  </pic:nvPicPr>
                  <pic:blipFill>
                    <a:blip r:embed="rId11"/>
                    <a:stretch>
                      <a:fillRect/>
                    </a:stretch>
                  </pic:blipFill>
                  <pic:spPr>
                    <a:xfrm>
                      <a:off x="0" y="0"/>
                      <a:ext cx="3600000" cy="1800000"/>
                    </a:xfrm>
                    <a:prstGeom prst="rect"/>
                  </pic:spPr>
                </pic:pic>
              </a:graphicData>
            </a:graphic>
          </wp:inline>
        </w:drawing>
      </w:r>
    </w:p>
    <w:p>
      <w:pPr>
        <w:pStyle w:val="Heading1"/>
        <w:spacing w:before="10" w:after="10" w:line="360" w:lineRule="auto"/>
      </w:pPr>
      <w:r>
        <w:rPr>
          <w:rFonts w:ascii="宋体" w:hAnsi="宋体" w:eastAsia="宋体"/>
          <w:color w:val="000000"/>
        </w:rPr>
        <w:t>项目经费执行情况</w:t>
      </w:r>
    </w:p>
    <w:p>
      <w:pPr>
        <w:ind w:firstLine="400"/>
        <w:jc w:val="both"/>
      </w:pPr>
      <w:r>
        <w:t>2024年共立项36个项目，同比增加18%。项目类型分布：基础设施类占比30.56%（11个），研发类占47.22%（17个），环保类占22.22%（8个）。资金执行总额为2.4亿元，其中研发类项目占执行资金的55%（1.32亿元），平均执行率达到了90%，基础设施类项目占执行资金的30%（0.72亿元），平均执行率为85%，环保类项目占执行资金的15%（0.36亿元），平均执行率为80%。在所有负责单位中，单位201和202表现突出，分别完成了其年度预算的95%和92%，其余单位的平均完成率则为87%。</w:t>
      </w:r>
    </w:p>
    <w:p>
      <w:pPr>
        <w:ind w:firstLine="400"/>
        <w:jc w:val="both"/>
      </w:pPr>
      <w:r>
        <w:t>值得注意的是，尽管整体资金执行情况良好，但仍有3个单位未能达到预期的资金使用效率，其预算执行率低于80%。此外，研发类项目的高执行率表明公司在技术创新方面的投入得到了有效利用，有助于提升公司的长期竞争力和市场地位。环保类项目虽然占比不高，但在促进公司可持续发展方面发挥了重要作用。</w:t>
      </w:r>
    </w:p>
    <w:p>
      <w:pPr>
        <w:ind w:firstLine="400"/>
        <w:jc w:val="both"/>
      </w:pPr>
      <w:r>
        <w:t>在资金管理方面，所有单位均遵守了财务规定，未发现违规使用资金的情况，确保了资金使用的合规性和透明度。未来，建议进一步优化资源配置，特别是在基础设施建设和研发领域加大投入力度，以支持公司的长期战略目标和发展需求。</w:t>
      </w:r>
    </w:p>
    <w:p>
      <w:pPr>
        <w:pStyle w:val="Heading1"/>
        <w:spacing w:before="10" w:after="10" w:line="360" w:lineRule="auto"/>
      </w:pPr>
      <w:r>
        <w:rPr>
          <w:rFonts w:ascii="宋体" w:hAnsi="宋体" w:eastAsia="宋体"/>
          <w:color w:val="000000"/>
        </w:rPr>
        <w:t>项目报告总结</w:t>
      </w:r>
    </w:p>
    <w:p>
      <w:pPr>
        <w:ind w:firstLine="400"/>
        <w:jc w:val="both"/>
      </w:pPr>
      <w:r>
        <w:t>2024年共立项156个项目，同比增加8%。项目类型分布：型号研制类占比37%（58个），涉火项目占比29%（45个），重点跟踪项目占比18%（28个），新增项目占比16%（25个）。资金执行总额为10.5亿元，其中型号研制类项目占执行资金的42%（4.4亿元），平均执行率为78%。涉火项目的资金执行率为73%，重点跟踪项目和新增项目的资金执行率分别为79%和68%。</w:t>
      </w:r>
    </w:p>
    <w:p>
      <w:pPr>
        <w:ind w:firstLine="400"/>
        <w:jc w:val="both"/>
      </w:pPr>
      <w:r>
        <w:t>在负责单位承诺方面，单位201、202和其他单位均按时提交了相关报告，并完成了年度目标的85%。预算执行情况显示，大部分单位的资金使用较为合理，但有3个单位（占总数的15%）存在资金使用率低于60%的情况。</w:t>
      </w:r>
    </w:p>
    <w:p>
      <w:pPr>
        <w:ind w:firstLine="400"/>
        <w:jc w:val="both"/>
      </w:pPr>
      <w:r>
        <w:t>业务价值方面，通过优化项目管理和提高资金使用效率，整体项目的完成质量和速度得到了提升，特别是在型号研制和涉火项目上表现突出。此外，重点跟踪项目的推进也确保了关键任务的战略一致性与合规性。</w:t>
      </w:r>
    </w:p>
    <w:p>
      <w:pPr>
        <w:ind w:firstLine="400"/>
        <w:jc w:val="both"/>
      </w:pPr>
      <w:r>
        <w:t>综上所述，2024年的项目管理在数量、类型分布及资金执行方面均表现出积极的趋势，但仍有部分单位的资金使用效率有待提高。未来应继续优化资源配置和提升各负责单位的执行力，以进一步增强业务价值和战略目标的一致性。</w:t>
      </w:r>
    </w:p>
    <w:sectPr w:rsidR="00FC693F" w:rsidRPr="0006063C" w:rsidSect="00034616">
      <w:headerReference w:type="default" r:id="rId9"/>
      <w:footerReference w:type="default" r:id="rId10"/>
      <w:pgSz w:w="12240" w:h="15840"/>
      <w:pgMar w:top="72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color w:val="C00000"/>
        <w:sz w:val="18"/>
      </w:rPr>
      <w:t>资料 · 注意保管</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黑体" w:hAnsi="黑体"/>
        <w:color w:val="808080"/>
        <w:sz w:val="20"/>
      </w:rPr>
      <w:t>中国兵器工业信息中心</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