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拖期项目数量为1个。</w:t>
      </w:r>
    </w:p>
    <w:p>
      <w:pPr>
        <w:ind w:firstLine="400"/>
        <w:jc w:val="both"/>
      </w:pPr>
      <w:r>
        <w:t>项目类型分布方面：型号研制类占比66.7%（14个），涉火类占比19.0%（4个），重点跟踪类占比4.8%（1个）。由于数据中未提供具体资金执行情况，因此无法计算各类型项目的资金分配比例和平均执行率。预算执行率的数据对于3/20的责任单位不可用。</w:t>
      </w:r>
    </w:p>
    <w:p>
      <w:pPr>
        <w:ind w:firstLine="400"/>
        <w:jc w:val="both"/>
      </w:pPr>
      <w:r>
        <w:t>总体来看，2024年的项目立项数量显著增加，特别是型号研制类项目占据了主导地位，显示出公司在研发方面的持续投入与重视。然而，由于部分数据缺失或未提供，如资金执行情况和某些责任单位的预算执行率，对全面评估项目的业务价值（例如效率、合规性及战略一致性）造成了一定限制。</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负责单位来看，单位201承担的研发类项目最多，占总研发项目的45%，而单位202则主要负责基础设施类项目，占比达到38%。</w:t>
      </w:r>
    </w:p>
    <w:p>
      <w:pPr>
        <w:ind w:firstLine="400"/>
        <w:jc w:val="both"/>
      </w:pPr>
      <w:r>
        <w:t>总体而言，2024年的项目立项和资金分配体现了公司在战略方向上的明确规划，特别是在技术研发和环境保护方面的投入，有助于提升公司的长期竞争力。</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主要负责未具体划分的项目任务，而ZB体系研究一部则在体系研究方面承担了较多的任务量。装备研发部和ZB体系研究二部虽然承担的项目数量较少，但在各自领域内发挥了重要作用。</w:t>
      </w:r>
    </w:p>
    <w:p>
      <w:pPr>
        <w:ind w:firstLine="400"/>
        <w:jc w:val="both"/>
      </w:pPr>
      <w:r>
        <w:t>资金执行情况方面，由于数据不全，无法提供具体的资金总额及各责任单位的资金分配比例。但可以观察到，待定部门和ZB体系研究一部在任务承担上占据了较大比重，这可能意味着这两个单位在资源调配中占有重要地位。</w:t>
      </w:r>
    </w:p>
    <w:p>
      <w:pPr>
        <w:ind w:firstLine="400"/>
        <w:jc w:val="both"/>
      </w:pPr>
      <w:r>
        <w:t>综上所述，2024年责任单位的任务承担情况显示出一定的集中性，特别是在待定部门和ZB体系研究一部。尽管具体资金执行数据不全，但可以推测这些单位在项目实施过程中扮演了关键角色。未来应进一步完善数据收集机制，以便更全面地评估各责任单位的绩效表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公司在技术创新和产品开发方面的投入得到了有效利用，有助于提升公司的核心竞争力。同时，基础设施项目较高的执行率也反映了公司对基础建设的重视程度，为公司的长期发展提供了坚实的基础。环保类项目的执行情况虽然略低于其他两类，但其80%的平均执行率仍表明了公司在可持续发展方面所做的努力。</w:t>
      </w:r>
    </w:p>
    <w:p>
      <w:pPr>
        <w:ind w:firstLine="400"/>
        <w:jc w:val="both"/>
      </w:pPr>
      <w:r>
        <w:t>值得注意的是，尽管整体资金执行情况良好，但在某些单位中存在预算执行不一致的情况，例如3/10的单位未能提供完整的预算执行数据。这可能影响到对这些单位具体项目执行情况的全面评估。</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2024年共立项23个项目，同比增加20%。项目类型分布：型号研制类占比56.52%（14个），涉火项目类占比17.39%（4个），重点跟踪类占比4.35%（1个）。新增项目数量为20个，拖期项目数量为1个。</w:t>
      </w:r>
    </w:p>
    <w:p>
      <w:pPr>
        <w:ind w:firstLine="400"/>
        <w:jc w:val="both"/>
      </w:pPr>
      <w:r>
        <w:t>资金执行总额暂未提供具体数值。根据现有数据，型号研制类项目的数量最多，占总立项数的大部分比例。从负责单位来看，待定部门承担了最多的项目，共10个项目；ZB体系研究一部和二部分别承担9个和1个项目；装备研发部承担1个项目。</w:t>
      </w:r>
    </w:p>
    <w:p>
      <w:pPr>
        <w:ind w:firstLine="400"/>
        <w:jc w:val="both"/>
      </w:pPr>
      <w:r>
        <w:t>报告总结：2024年项目总数有所增加，型号研制类项目占据主导地位，显示出公司在技术研发方面的持续投入。然而，资金执行总额数据暂未提供，影响了对整体财务状况的全面评估。此外，待定部门负责较多项目，需关注其在项目管理和执行中的表现和效率。未来应加强资金使用情况的透明度，并确保各责任单位按时完成任务，以提高整体运营效率和战略一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