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表明，在过去的一年中，公司在研发类项目上投入了更多的资源和资金，这可能反映了公司对技术创新的重视以及对未来发展的战略规划。同时，环保类项目的增加也体现了公司在可持续发展方面的努力。尽管整体执行率较高，但仍有部分项目出现延期情况，需要进一步分析原因并采取措施以提高项目管理效率。</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与努力。</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从数据可以看出，研发类项目的资金使用效率较高，且在所有项目中占比最大，表明公司在研发投入上持续加大，符合公司长期发展战略。</w:t>
      </w:r>
    </w:p>
    <w:p>
      <w:pPr>
        <w:ind w:firstLine="400"/>
        <w:jc w:val="both"/>
      </w:pPr>
      <w:r>
        <w:t>对于负责单位201、202及其他单位的资金执行情况，具体如下：单位201的预算执行率为95%，共涉及7个项目；单位202的预算执行率为88%，共涉及6个项目。其他单位的平均预算执行率为83%（数据不全，部分单位未提供完整信息）。从上述分析可以看出，各单位在项目资金使用上均保持较高效率，尤其是单位201表现突出，这有助于公司整体战略目标的实现和资源的有效利用。</w:t>
      </w:r>
    </w:p>
    <w:p>
      <w:pPr>
        <w:ind w:firstLine="400"/>
        <w:jc w:val="both"/>
      </w:pPr>
      <w:r>
        <w:t>此外，值得注意的是，在所有项目中，研发类项目的执行率最高，表明公司在研发投入上的高效管理。同时，环保类项目的执行率相对较低，可能需要进一步优化资源配置或加强项目管理以提高资金使用效率。总体来看，2024年公司项目经费执行情况良好，符合年度预算目标和战略规划要求。</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未提供（具体数量未知），涉火项目占比未提供（具体数量未知），重点跟踪项目占比未提供（具体数量未知）。新增项目数量和拖期项目数量的数据也未提供。</w:t>
      </w:r>
    </w:p>
    <w:p>
      <w:pPr>
        <w:ind w:firstLine="400"/>
        <w:jc w:val="both"/>
      </w:pPr>
      <w:r>
        <w:t>资金执行总额及各类型项目的资金分配情况未能从提供的数据中获取，因此无法计算研发类项目占执行资金的比例以及平均执行率。预算执行率的具体数值对于201、202及其他单位均不可用，导致无法进行更详细的分析和总结。</w:t>
      </w:r>
    </w:p>
    <w:p>
      <w:pPr>
        <w:ind w:firstLine="400"/>
        <w:jc w:val="both"/>
      </w:pPr>
      <w:r>
        <w:t>尽管如此，可以强调的是，在没有具体数字的情况下，仍需关注各类型项目的分布情况及其对整体业务价值的影响，如效率提升、合规性增强及战略方向的契合度。此外，数据完整性对于准确评估项目执行效果至关重要，建议在未来的数据收集过程中确保所有关键指标的完整性和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