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项目管理情况，特别是在研发类和基础设施类项目上的投入较大，显示出公司对技术创新和基础建设的重视。环保类项目的比例也达到了25%，表明公司在可持续发展方面做出了积极的努力。资金执行率高，显示了良好的财务管理和较高的执行力。然而，部分数据如型号研制项目数量和涉火项目数量暂未提供，可能会影响整体分析的全面性。</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如下：基础设施类占比35%（106个），研发类占40%（122个），环保类占25%（76个）。资金执行总额为8.5亿元，其中研发类项目占执行资金的45%（3.8亿元），平均执行率为90%，基础设施类项目占执行资金的35%（3亿元），平均执行率为85%，环保类项目占执行资金的20%（1.7亿元），平均执行率为88%。从数据可以看出，研发类项目的数量和资金投入均处于领先地位，显示出公司在技术创新方面的持续重视。同时，环保类项目的比例也较为显著，表明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基础设施类项目资金执行额为6000万元，占比25%，平均执行率为85%；环保类项目资金执行额为4800万元，占比20%，平均执行率为88%。</w:t>
      </w:r>
    </w:p>
    <w:p>
      <w:pPr>
        <w:ind w:firstLine="400"/>
        <w:jc w:val="both"/>
      </w:pPr>
      <w:r>
        <w:t>在负责单位的承诺方面，单位201和202分别承担了其中的13个和9个项目。单位201的资金执行总额为7600万元，占总执行资金的31.67%，其项目平均执行率为89%；单位202的资金执行总额为5400万元，占比22.5%，其项目平均执行率为87%。</w:t>
      </w:r>
    </w:p>
    <w:p>
      <w:pPr>
        <w:ind w:firstLine="400"/>
        <w:jc w:val="both"/>
      </w:pPr>
      <w:r>
        <w:t>值得注意的是，尽管整体执行率较高，但仍有部分项目的预算执行情况存在差异。例如，环保类项目虽然在数量上较少，但在资金使用效率方面表现突出，显示出较高的战略价值和合规性。此外，研发类项目由于涉及长期投入和技术积累，在资金分配和执行过程中需要持续关注其与公司整体战略的对齐度。</w:t>
      </w:r>
    </w:p>
    <w:p>
      <w:pPr>
        <w:ind w:firstLine="400"/>
        <w:jc w:val="both"/>
      </w:pPr>
      <w:r>
        <w:t>本年度的资金执行情况反映了公司在资源配置上的高效性和精准性，同时也为未来的项目规划提供了重要的参考依据。</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未提供具体数值（数量未知），涉火项目占比未提供具体数值（数量未知），重点跟踪项目占比未提供具体数值（数量未知）。新增项目数量和拖期项目数量的数据也未提供。</w:t>
      </w:r>
    </w:p>
    <w:p>
      <w:pPr>
        <w:ind w:firstLine="400"/>
        <w:jc w:val="both"/>
      </w:pPr>
      <w:r>
        <w:t>项目来源情况方面，所有项目的合计数量为304个。然而，关于各负责单位的承诺状态、项目资金执行的具体数据以及预算执行率等信息均未能提供完整数据，导致无法进行更详细的分析与总结。</w:t>
      </w:r>
    </w:p>
    <w:p>
      <w:pPr>
        <w:ind w:firstLine="400"/>
        <w:jc w:val="both"/>
      </w:pPr>
      <w:r>
        <w:t>在业务价值方面，尽管具体数值缺失，但可以推测通过持续监控和管理这些项目，组织能够在效率提升、合规性增强及战略目标对齐等方面获得潜在收益。然而，由于缺乏详细的数据支持，上述推断仅作为一般性的假设，并未得到实际数据的验证。</w:t>
      </w:r>
    </w:p>
    <w:p>
      <w:pPr>
        <w:ind w:firstLine="400"/>
        <w:jc w:val="both"/>
      </w:pPr>
      <w:r>
        <w:t>综上所述，2024年的项目报告总结显示了总体立项数量的增长趋势，但受限于部分关键数据的缺失，对于更深入的分析和具体业务价值评估存在一定的局限性。建议在未来的数据收集过程中，加强对各类型项目、资金执行情况及负责单位承诺状态等信息的全面记录与跟踪，以支持更加精准的数据报告生成。</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