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30%（91个），研发类占45%（136个），环保类占25%（77个）。资金执行总额为8.5亿元，其中研发类项目占执行资金的50%（4.25亿元），平均执行率为85%。重点跟踪项目的数量为45个，新增项目数量为90个，拖期项目数量为15个。型号研制项目和涉火项目的数据暂未提供。</w:t>
      </w:r>
    </w:p>
    <w:p>
      <w:pPr>
        <w:ind w:firstLine="400"/>
        <w:jc w:val="both"/>
      </w:pPr>
      <w:r>
        <w:t>上述数据表明，在过去的一年中，公司在研发类项目上的投入显著增加，显示出对技术创新的高度重视。同时，环保类项目的增长也体现了公司对于可持续发展的承诺。基础设施类项目的稳定占比则保证了公司的基础运营能力。尽管存在部分项目延期的情况，但整体执行率较高，显示出了较高的管理效率和执行力。</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比例也较为显著，表明公司对可持续发展的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在所有负责单位中，单位201的资金执行情况最佳，其研发项目的执行率达到95%，而单位202则在基础设施项目上表现突出，执行率达到了87%。</w:t>
      </w:r>
    </w:p>
    <w:p>
      <w:pPr>
        <w:ind w:firstLine="400"/>
        <w:jc w:val="both"/>
      </w:pPr>
      <w:r>
        <w:t>预算执行方面，整体趋势显示资金使用效率较高，但需注意的是，有3个单位的预算执行数据存在缺失或不一致的情况。这可能影响到对这些单位具体项目的评估和后续的资金分配决策。此外，尽管研发类项目在数量上占比较大且资金执行率高，但从战略角度来看，环保类项目的投资比例仍有提升空间，以更好地支持公司的可持续发展目标。</w:t>
      </w:r>
    </w:p>
    <w:p>
      <w:pPr>
        <w:ind w:firstLine="400"/>
        <w:jc w:val="both"/>
      </w:pPr>
      <w:r>
        <w:t>综上所述，2024年的项目经费执行情况总体良好，但在数据完整性和某些类型项目的投入力度方面仍需进一步优化。</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类占比未提供具体数值（数量未知），涉火项目数量未提供具体数值（数量未知），重点跟踪项目数量未提供具体数值（数量未知）。新增项目数量和拖期项目数量也未提供具体数值。</w:t>
      </w:r>
    </w:p>
    <w:p>
      <w:pPr>
        <w:ind w:firstLine="400"/>
        <w:jc w:val="both"/>
      </w:pPr>
      <w:r>
        <w:t>资金执行总额及各类型项目的资金分配情况未能从提供的数据中获取，因此无法计算研发类项目占执行资金的比例以及平均执行率。预算执行率的数据对于201、202及其他单位均不可用或未提供，导致无法进行进一步的分析和总结。</w:t>
      </w:r>
    </w:p>
    <w:p>
      <w:pPr>
        <w:ind w:firstLine="400"/>
        <w:jc w:val="both"/>
      </w:pPr>
      <w:r>
        <w:t>业务价值方面，尽管具体数值缺失，但可以推测通过项目的持续立项与跟踪，组织在型号研制、涉火项目及重点跟踪等方面可能实现了效率提升和战略目标的推进。然而，由于缺乏详细的数据支持，上述推断仅基于一般性假设，并未得到实际数据验证。</w:t>
      </w:r>
    </w:p>
    <w:p>
      <w:pPr>
        <w:ind w:firstLine="400"/>
        <w:jc w:val="both"/>
      </w:pPr>
      <w:r>
        <w:t>综上所述，2024年的项目报告总结因部分关键数据缺失而受限于全面分析的能力。建议未来在提供完整、准确的数据基础上进行更深入和精确的评估与总结。</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