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所有立项项目中，新增项目数量达到10%，表明组织对新业务领域的积极探索和投入。重点跟踪的项目数量占总项目数的15%，显示出管理层对于关键项目的高度重视与监控力度。然而，拖期项目数量占比为7%，反映出部分项目执行过程中存在时间管理上的挑战。</w:t>
      </w:r>
    </w:p>
    <w:p>
      <w:pPr>
        <w:ind w:firstLine="400"/>
        <w:jc w:val="both"/>
      </w:pPr>
      <w:r>
        <w:t>从项目来源看，内部发起的项目占60%（94个），外部合作或委托项目占40%（62个）。这表明组织在保持自主创新能力的同时，也积极寻求与外界的合作机会。此外，型号研制项目的数量为35%，显示出公司在产品开发和技术创新方面的持续投入。</w:t>
      </w:r>
    </w:p>
    <w:p>
      <w:pPr>
        <w:ind w:firstLine="400"/>
        <w:jc w:val="both"/>
      </w:pPr>
      <w:r>
        <w:t>综上所述，2024年项目管理总体表现稳健，但在时间管理和部分项目执行效率方面仍有提升空间。通过优化资源配置、加强项目监控机制，有望进一步提高整体运营效率与业务价值。</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90%。</w:t>
      </w:r>
    </w:p>
    <w:p>
      <w:pPr>
        <w:ind w:firstLine="400"/>
        <w:jc w:val="both"/>
      </w:pPr>
      <w:r>
        <w:t>在业务价值方面，研发类项目的增加表明公司在技术创新和产品开发上的持续投入，有助于提升公司的核心竞争力。基础设施类项目的稳步增长反映了公司对基础建设的重视，确保了运营效率和服务质量。环保类项目占比虽低于前两类，但其高资金执行率和平均执行率显示了公司在可持续发展方面的积极努力和高效执行力。</w:t>
      </w:r>
    </w:p>
    <w:p>
      <w:pPr>
        <w:ind w:firstLine="400"/>
        <w:jc w:val="both"/>
      </w:pPr>
      <w:r>
        <w:t>值得注意的是，尽管研发类项目数量最多且资金投入较大，但在某些负责单位如201、202等单位的预算执行情况存在差异。例如，201单位的研发项目执行率为83%，而202单位则为92%。这些数据反映了不同单位在资源分配和管理上的效率差异，需要进一步分析以优化资源配置和提升整体执行力。</w:t>
      </w:r>
    </w:p>
    <w:p>
      <w:pPr>
        <w:ind w:firstLine="400"/>
        <w:jc w:val="both"/>
      </w:pPr>
      <w:r>
        <w:t>此外，部分负责单位如205、206等的预算执行情况未提供完整数据，这可能影响到对整个项目资金使用情况的整体评估。建议后续工作中加强对这些单位的数据收集和监控力度，确保信息的全面性和准确性。</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研发项目最多，有5个，占比55.56%，基础设施项目3个，占比33.33%，环保项目1个，占比11.11%。责任单位202共承担了8个项目，其中研发项目4个，占比50%，基础设施项目2个，占比25%，环保项目2个，占比25%。</w:t>
      </w:r>
    </w:p>
    <w:p>
      <w:pPr>
        <w:ind w:firstLine="400"/>
        <w:jc w:val="both"/>
      </w:pPr>
      <w:r>
        <w:t>其他单位合计承担了19个项目，其中研发类项目最多，有8个，占总数的42.11%，基础设施项目6个，占31.58%，环保项目5个，占26.32%。资金执行总额为2.7亿元，其中研发类项目占执行资金的50.93%（1.37亿元），平均执行率为84.5%。</w:t>
      </w:r>
    </w:p>
    <w:p>
      <w:pPr>
        <w:ind w:firstLine="400"/>
        <w:jc w:val="both"/>
      </w:pPr>
      <w:r>
        <w:t>值得注意的是，责任单位201和202在承担环保类项目上存在差异，这可能反映了各单位在战略重点上的不同。此外，尽管其他单位承担了较多的研发项目，但其资金执行率略低于整体平均水平，提示可能存在资源分配或管理效率方面的优化空间。</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公司在技术创新和产品开发方面的投入得到了有效利用，有助于提升公司的核心竞争力。同时，基础设施项目较高的执行率也反映了公司对基础建设的重视程度，为公司的长期发展提供了坚实的基础。环保类项目的执行情况虽然略低于其他两类，但其80%的平均执行率仍表明了公司在可持续发展方面所做的努力。</w:t>
      </w:r>
    </w:p>
    <w:p>
      <w:pPr>
        <w:ind w:firstLine="400"/>
        <w:jc w:val="both"/>
      </w:pPr>
      <w:r>
        <w:t>值得注意的是，尽管整体资金执行情况良好，但在某些单位中存在预算执行不一致的情况，例如3/10的单位未能提供完整的预算执行数据。这可能影响到对这些单位具体项目执行情况的全面评估。</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最高，达到了83%。</w:t>
      </w:r>
    </w:p>
    <w:p>
      <w:pPr>
        <w:ind w:firstLine="400"/>
        <w:jc w:val="both"/>
      </w:pPr>
      <w:r>
        <w:t>在负责单位承诺状态方面，主要涉及单位包括201、202等。201单位承担了50个项目，其中正在执行的数量为40个；202单位则承担了45个项目，正在执行的有36个。重点跟踪项目数量共计27个，新增项目数量为18个。</w:t>
      </w:r>
    </w:p>
    <w:p>
      <w:pPr>
        <w:ind w:firstLine="400"/>
        <w:jc w:val="both"/>
      </w:pPr>
      <w:r>
        <w:t>报告中还指出，拖期项目数量占总项目的比例为9%，共涉及14个项目。在项目来源情况方面，内部发起的项目占比达到60%（94个），外部合作项目占35%（55个）。</w:t>
      </w:r>
    </w:p>
    <w:p>
      <w:pPr>
        <w:ind w:firstLine="400"/>
        <w:jc w:val="both"/>
      </w:pPr>
      <w:r>
        <w:t>综上所述，2024年的项目管理总体表现良好，特别是在型号研制和研发类项目的执行效率较高，但拖期项目数量仍需引起重视。未来应进一步优化资源配置，提高项目按时完成率，确保整体业务目标的实现。</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