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2025年05月17日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则占20%（0.24亿元）。</w:t>
      </w:r>
    </w:p>
    <w:p>
      <w:pPr>
        <w:ind w:firstLine="400"/>
        <w:jc w:val="both"/>
      </w:pPr>
      <w:r>
        <w:t>在负责单位方面，单位201承担了其中的40个项目，单位202承担了35个，其他单位共承担81个项目。从项目来源看，内部发起的项目占比为60%，外部合作项目占比为40%。重点跟踪项目的数量为20个，新增项目数量为30个。</w:t>
      </w:r>
    </w:p>
    <w:p>
      <w:pPr>
        <w:ind w:firstLine="400"/>
        <w:jc w:val="both"/>
      </w:pPr>
      <w:r>
        <w:t>需要注意的是，部分数据如预算执行率在某些负责单位中不可用，具体来说有三个单位的数据缺失。此外，型号研制项目和涉火项目的具体数量未提供完整信息，在此报告中无法体现这些细节。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92%。</w:t>
      </w:r>
    </w:p>
    <w:p>
      <w:pPr>
        <w:ind w:firstLine="400"/>
        <w:jc w:val="both"/>
      </w:pPr>
      <w:r>
        <w:t>从数据中可以看出，研发类项目在数量和资金投入上均占据主导地位，显示出公司在技术创新方面的持续重视。同时，环保类项目的比例也较为显著，表明公司对可持续发展的承诺。基础设施类项目虽然占比略低，但其稳定的执行率反映了公司在基础建设上的高效管理能力。</w:t>
      </w:r>
    </w:p>
    <w:p>
      <w:pPr>
        <w:ind w:firstLine="400"/>
        <w:jc w:val="both"/>
      </w:pPr>
      <w:r>
        <w:t>值得注意的是，尽管各类型项目的平均执行率较高，但在具体单位层面仍存在差异。例如，201单位的研发项目执行率为90%，而202单位的环保项目执行率为85%。这些数据有助于进一步优化资源配置和提升整体运营效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预算执行率方面，责任单位201和202以及部分其他单位的数据完整，但有三个单位的预算执行数据缺失。总体来看，各责任单位在任务承担上表现较为均衡，特别是在研发类项目的投入上表现出较高的积极性和执行力，这有助于推动公司的技术创新与战略目标实现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达到了90%，基础设施类项目占执行资金的30%（0.72亿元），平均执行率为85%，环保类项目占执行资金的15%（0.36亿元），平均执行率为80%。在所有负责单位中，单位201和202表现突出，其项目执行率分别达到了95%和92%，显著高于平均水平。</w:t>
      </w:r>
    </w:p>
    <w:p>
      <w:pPr>
        <w:ind w:firstLine="400"/>
        <w:jc w:val="both"/>
      </w:pPr>
      <w:r>
        <w:t>预算执行情况显示，尽管整体上各项目的资金使用效率较高，但仍有部分单位存在执行偏差，如单位301的执行率为78%，低于平均值。此外，研发类项目的高执行率（90%）表明该类别项目在资源配置和管理上的高效性，这不仅有助于提升企业的技术创新能力，也符合公司长期发展战略。</w:t>
      </w:r>
    </w:p>
    <w:p>
      <w:pPr>
        <w:ind w:firstLine="400"/>
        <w:jc w:val="both"/>
      </w:pPr>
      <w:r>
        <w:t>值得注意的是，环保类项目的资金使用效率虽然略低，但其重要性和必要性不容忽视。随着社会对环境保护要求的不断提高，加大对环保类项目的投入和支持显得尤为关键。未来应进一步优化资源配置策略，确保所有项目都能高效执行，同时加强监督和管理，以提高整体的资金使用效益。</w:t>
      </w:r>
    </w:p>
    <w:p>
      <w:pPr>
        <w:ind w:firstLine="400"/>
        <w:jc w:val="both"/>
      </w:pPr>
      <w:r>
        <w:t>在合规方面，所有单位均按照既定预算计划进行资金分配与使用，未发现违规操作现象。这表明公司在财务管理上具有较高的规范性和透明度，有助于维护良好的企业形象和社会信誉。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涉火项目占比29%（45个），重点跟踪项目占比18%（28个），新增项目占比16%（25个）。资金执行总额为10.5亿元，其中型号研制类项目占执行资金的42%（4.4亿元），平均执行率为78%。涉火项目的资金执行率为73%，重点跟踪项目和新增项目的资金执行率分别为79%和68%。</w:t>
      </w:r>
    </w:p>
    <w:p>
      <w:pPr>
        <w:ind w:firstLine="400"/>
        <w:jc w:val="both"/>
      </w:pPr>
      <w:r>
        <w:t>在负责单位承诺方面，单位201、202和其他单位均按时提交了相关报告，并完成了年度目标的85%。预算执行情况显示，大部分单位的资金使用较为合理，但有3个单位（占总数的15%）存在资金使用率低于60%的情况。</w:t>
      </w:r>
    </w:p>
    <w:p>
      <w:pPr>
        <w:ind w:firstLine="400"/>
        <w:jc w:val="both"/>
      </w:pPr>
      <w:r>
        <w:t>业务价值方面，通过优化项目管理和提高资金使用效率，整体提升了项目的完成质量和速度，确保了战略方向的一致性，并在一定程度上提高了组织的市场竞争力。此外，在合规性和风险管理方面也取得了显著成效，所有项目均符合相关法规要求，未发生重大违规事件。</w:t>
      </w:r>
    </w:p>
    <w:p>
      <w:pPr>
        <w:ind w:firstLine="400"/>
        <w:jc w:val="both"/>
      </w:pPr>
      <w:r>
        <w:t>需要注意的是，尽管总体趋势向好，但仍有部分项目存在延期风险，特别是型号研制类和涉火项目中拖期现象较为突出，需进一步加强监控与管理。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