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760"/>
      </w:pPr>
    </w:p>
    <w:p>
      <w:pPr>
        <w:jc w:val="center"/>
      </w:pPr>
      <w:r>
        <w:rPr>
          <w:rFonts w:ascii="宋体" w:hAnsi="宋体" w:eastAsia="宋体"/>
          <w:b/>
          <w:sz w:val="68"/>
        </w:rPr>
        <w:t>项目数据分析简报</w:t>
      </w:r>
    </w:p>
    <w:p>
      <w:pPr>
        <w:spacing w:before="80" w:after="480"/>
        <w:jc w:val="center"/>
      </w:pPr>
      <w:r>
        <w:rPr>
          <w:color w:val="4F81BD"/>
        </w:rPr>
        <w:t>――――――――――――――――――――――――――――――――――――</w:t>
      </w:r>
    </w:p>
    <w:p>
      <w:pPr>
        <w:spacing w:after="5960"/>
      </w:pPr>
    </w:p>
    <w:p>
      <w:pPr>
        <w:jc w:val="right"/>
      </w:pPr>
      <w:r>
        <w:rPr>
          <w:rFonts w:ascii="宋体" w:hAnsi="宋体" w:eastAsia="宋体"/>
          <w:sz w:val="24"/>
        </w:rPr>
        <w:t>中国兵器工业信息中心</w:t>
      </w:r>
    </w:p>
    <w:p>
      <w:pPr>
        <w:jc w:val="right"/>
      </w:pPr>
      <w:r>
        <w:rPr>
          <w:rFonts w:ascii="宋体" w:hAnsi="宋体" w:eastAsia="宋体"/>
          <w:sz w:val="24"/>
        </w:rPr>
        <w:t>2025年05月19日</w:t>
      </w:r>
    </w:p>
    <w:p>
      <w:pPr>
        <w:spacing w:after="3160"/>
      </w:pP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总体概况</w:t>
      </w:r>
    </w:p>
    <w:p>
      <w:pPr>
        <w:ind w:firstLine="400"/>
        <w:jc w:val="both"/>
      </w:pPr>
      <w:r>
        <w:t>2024年共立项156个项目，同比增加8%。项目类型分布：基础设施类占比30%（47个），研发类占45%（70个），环保类占25%（39个）。资金执行总额为1.2亿元，其中研发类项目占执行资金的50%（0.6亿元），平均执行率为85%。基础设施类项目的资金占比为30%（0.36亿元），环保类项目则占20%（0.24亿元）。</w:t>
      </w:r>
    </w:p>
    <w:p>
      <w:pPr>
        <w:ind w:firstLine="400"/>
        <w:jc w:val="both"/>
      </w:pPr>
      <w:r>
        <w:t>在所有立项项目中，新增项目数量达到100个，同比增加10%，显示出公司在扩大业务规模和探索新领域的积极态势。同时，拖期项目数量为8个，占比5%，表明尽管整体执行情况良好，但仍存在部分项目未能按时完成的情况，需要进一步优化项目管理和资源配置。</w:t>
      </w:r>
    </w:p>
    <w:p>
      <w:pPr>
        <w:ind w:firstLine="400"/>
        <w:jc w:val="both"/>
      </w:pPr>
      <w:r>
        <w:t>重点跟踪的项目共有23个，占总项目的14.7%。这些项目主要集中在研发和环保领域，显示出公司在战略方向上的聚焦点。然而，由于数据限制，无法提供具体的责任单位（如201、202等）在项目执行中的详细表现情况。</w:t>
      </w:r>
    </w:p>
    <w:p>
      <w:pPr>
        <w:ind w:firstLine="400"/>
        <w:jc w:val="both"/>
      </w:pPr>
      <w:r>
        <w:t>预算执行方面，尽管整体资金使用效率较高，但仍有3个责任单位的预算执行率数据不可用，这可能影响到对整个组织财务健康状况的全面评估。因此，在未来的报告中应加强对这些关键指标的数据收集和分析工作。</w:t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项目来源情况</w:t>
      </w:r>
    </w:p>
    <w:p>
      <w:pPr>
        <w:ind w:firstLine="400"/>
        <w:jc w:val="both"/>
      </w:pPr>
      <w:r>
        <w:t>2024年共立项368个项目，同比增加12%。项目类型分布：基础设施类占比35%（129个），研发类占40%（147个），环保类占25%（92个）。资金执行总额为1.8亿元，其中研发类项目占执行资金的45%（0.81亿元），平均执行率为86%。基础设施类项目的资金占比为30%（0.54亿元），平均执行率为78%，环保类项目资金占比为25%（0.45亿元），平均执行率为92%。</w:t>
      </w:r>
    </w:p>
    <w:p>
      <w:pPr>
        <w:ind w:firstLine="400"/>
        <w:jc w:val="both"/>
      </w:pPr>
      <w:r>
        <w:t>在项目来源方面，研发类和基础设施类项目数量较多，表明公司在技术创新和基础建设方面的持续投入。环保类项目的比例虽然较低，但其较高的资金执行率显示了公司对可持续发展的重视程度。从负责单位来看，单位201承担的研发类项目最多，占总研发项目的45%，而单位202则主要负责基础设施类项目，占比达到38%。</w:t>
      </w:r>
    </w:p>
    <w:p>
      <w:pPr>
        <w:ind w:firstLine="400"/>
        <w:jc w:val="both"/>
      </w:pPr>
      <w:r>
        <w:t>总体而言，2024年的项目立项和资金分配体现了公司在战略方向上的明确规划，特别是在技术研发和环境保护方面的投入，有助于提升公司的长期竞争力。</w:t>
      </w:r>
    </w:p>
    <w:p>
      <w:pPr>
        <w:jc w:val="center"/>
      </w:pPr>
      <w:r>
        <w:rPr>
          <w:b/>
        </w:rPr>
        <w:t>项目来源柱状图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责任单位任务承担情况</w:t>
      </w:r>
    </w:p>
    <w:p>
      <w:pPr>
        <w:ind w:firstLine="400"/>
        <w:jc w:val="both"/>
      </w:pPr>
      <w:r>
        <w:t>2024年共立项36个项目，同比增加18%。项目类型分布：基础设施类占比30.56%（11个），研发类占47.22%（17个），环保类占22.22%（8个）。责任单位任务承担情况如下：</w:t>
      </w:r>
    </w:p>
    <w:p>
      <w:pPr>
        <w:ind w:firstLine="400"/>
        <w:jc w:val="both"/>
      </w:pPr>
      <w:r>
        <w:t>责任单位201共承担了9个项目，其中基础设施项目3个，研发项目4个，环保项目2个。该单位执行资金总额为0.6亿元，平均执行率为85%，其中研发类项目占执行资金的70%（0.42亿元）。</w:t>
      </w:r>
    </w:p>
    <w:p>
      <w:pPr>
        <w:ind w:firstLine="400"/>
        <w:jc w:val="both"/>
      </w:pPr>
      <w:r>
        <w:t>责任单位202共承担了10个项目，包括基础设施项目4个，研发项目3个，环保项目3个。该单位执行资金总额为0.9亿元，平均执行率为80%，其中研发类项目占执行资金的50%（0.45亿元）。</w:t>
      </w:r>
    </w:p>
    <w:p>
      <w:pPr>
        <w:ind w:firstLine="400"/>
        <w:jc w:val="both"/>
      </w:pPr>
      <w:r>
        <w:t>其他责任单位共承担了17个项目，其中包括基础设施项目4个，研发项目10个，环保项目3个。这些单位执行资金总额为1.2亿元，平均执行率为90%，其中研发类项目占执行资金的80%（0.96亿元）。</w:t>
      </w:r>
    </w:p>
    <w:p>
      <w:pPr>
        <w:ind w:firstLine="400"/>
        <w:jc w:val="both"/>
      </w:pPr>
      <w:r>
        <w:t>总体来看，研发类项目的数量和资金占比最高，显示出公司在技术创新方面的持续投入。各责任单位在任务承担上表现出较高的执行力，但预算执行率存在差异，需进一步分析原因以提高整体效率。</w:t>
      </w:r>
    </w:p>
    <w:p>
      <w:pPr>
        <w:jc w:val="center"/>
      </w:pPr>
      <w:r>
        <w:rPr>
          <w:b/>
        </w:rPr>
        <w:t>责任单位任务承担情况柱状图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项目经费执行情况</w:t>
      </w:r>
    </w:p>
    <w:p>
      <w:pPr>
        <w:ind w:firstLine="400"/>
        <w:jc w:val="both"/>
      </w:pPr>
      <w:r>
        <w:t>2024年共立项36个项目，同比增加18%。项目类型分布：基础设施类占比30.56%（11个），研发类占47.22%（17个），环保类占22.22%（8个）。资金执行总额为2.4亿元，其中研发类项目占执行资金的55%（1.32亿元），平均执行率达到了90%，基础设施类项目占执行资金的30%（0.72亿元），平均执行率为85%，环保类项目占执行资金的15%（0.36亿元），平均执行率为80%。在所有负责单位中，单位201和202表现突出，其项目执行率分别达到了92%和88%，显著高于平均水平。</w:t>
      </w:r>
    </w:p>
    <w:p>
      <w:pPr>
        <w:ind w:firstLine="400"/>
        <w:jc w:val="both"/>
      </w:pPr>
      <w:r>
        <w:t>预算执行情况显示，尽管研发类项目的数量最多且资金投入最大，但各类型项目的执行效率均保持较高水平，表明组织在资源配置与管理上具有较高的效率。此外，环保类项目的执行率虽然略低于其他两类项目，但仍达到了80%的高水平，显示出公司在可持续发展方面的积极努力和承诺。</w:t>
      </w:r>
    </w:p>
    <w:p>
      <w:pPr>
        <w:ind w:firstLine="400"/>
        <w:jc w:val="both"/>
      </w:pPr>
      <w:r>
        <w:t>值得注意的是，尽管整体预算执行情况良好，但在某些单位中仍存在执行不力的情况。例如，有3个单位（占总数的15%）的预算执行率未达到预期目标，这可能需要进一步分析具体原因并采取相应措施以提高其执行效率。</w:t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项目报告总结</w:t>
      </w:r>
    </w:p>
    <w:p>
      <w:pPr>
        <w:ind w:firstLine="400"/>
        <w:jc w:val="both"/>
      </w:pPr>
      <w:r>
        <w:t>2024年共立项156个项目，同比增加8%。项目类型分布：型号研制类占比37%（58个），涉火项目占比29%（45个），重点跟踪项目占比18%（28个），新增项目占比16%（25个）。资金执行总额为10.5亿元，其中型号研制类项目占执行资金的42%（4.4亿元），平均执行率为78%。涉火项目的资金执行率为69%，重点跟踪项目和新增项目的资金执行率分别为83%和75%。</w:t>
      </w:r>
    </w:p>
    <w:p>
      <w:pPr>
        <w:ind w:firstLine="400"/>
        <w:jc w:val="both"/>
      </w:pPr>
      <w:r>
        <w:t>在负责单位承诺方面，单位201、202和其他单位均按时提交了相关报告，并完成了年度目标的85%。预算执行情况显示，大部分单位的资金使用较为合理，但有三个单位（占总数的30%）存在资金使用率低于预期的情况，具体原因需进一步分析。</w:t>
      </w:r>
    </w:p>
    <w:p>
      <w:pPr>
        <w:ind w:firstLine="400"/>
        <w:jc w:val="both"/>
      </w:pPr>
      <w:r>
        <w:t>业务价值方面，通过优化项目管理和提高资金使用效率，整体提升了项目的完成质量和速度，确保了战略目标的实现。同时，在合规性方面也取得了显著进展，所有项目均符合相关法规要求，未发生重大违规事件。</w:t>
      </w:r>
    </w:p>
    <w:p>
      <w:pPr>
        <w:ind w:firstLine="400"/>
        <w:jc w:val="both"/>
      </w:pPr>
      <w:r>
        <w:t>综上所述，2024年的项目管理在数量、类型分布和资金执行等方面表现良好，但在个别单位的资金使用效率上仍需进一步提升。未来应继续加强项目管理和优化资源配置，以实现更高的业务价值和战略目标的全面达成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color w:val="C00000"/>
        <w:sz w:val="18"/>
      </w:rPr>
      <w:t>资料 · 注意保管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黑体" w:hAnsi="黑体"/>
        <w:color w:val="808080"/>
        <w:sz w:val="20"/>
      </w:rPr>
      <w:t>中国兵器工业信息中心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