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2025年05月17日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156个项目，同比增加8%。项目类型分布：基础设施类占比30%（47个），研发类占45%（70个），环保类占25%（39个）。资金执行总额为1.2亿元，其中研发类项目占执行资金的50%（0.6亿元），平均执行率为85%。基础设施类项目的资金占比为30%（0.36亿元），环保类项目则占20%（0.24亿元）。</w:t>
      </w:r>
    </w:p>
    <w:p>
      <w:pPr>
        <w:ind w:firstLine="400"/>
        <w:jc w:val="both"/>
      </w:pPr>
      <w:r>
        <w:t>在负责单位承诺方面，单位201和202分别承担了其中的40个和30个项目，其余由其他单位分担。重点跟踪项目的数量为25个，新增项目数量达到36个，而拖期项目数量则有8个。项目来源情况显示，内部发起的项目占总数的70%，外部合作项目占比30%。</w:t>
      </w:r>
    </w:p>
    <w:p>
      <w:pPr>
        <w:ind w:firstLine="400"/>
        <w:jc w:val="both"/>
      </w:pPr>
      <w:r>
        <w:t>预算执行率方面，由于数据限制，部分单位（如3/10）的数据未能获取，因此无法提供全面分析。但从现有数据来看，整体资金使用效率较高，表明在资源配置和管理上取得了积极成效。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368个项目，同比增加12%。项目类型分布：基础设施类占比35%（129个），研发类占40%（147个），环保类占25%（92个）。资金执行总额为1.8亿元，其中研发类项目占执行资金的45%（0.81亿元），平均执行率为86%。基础设施类项目的资金占比为30%（0.54亿元），平均执行率为78%，环保类项目资金占比为25%（0.45亿元），平均执行率为92%。</w:t>
      </w:r>
    </w:p>
    <w:p>
      <w:pPr>
        <w:ind w:firstLine="400"/>
        <w:jc w:val="both"/>
      </w:pPr>
      <w:r>
        <w:t>在项目来源方面，研发类和基础设施类项目数量较多，表明公司在技术创新和基础建设方面的持续投入。环保类项目的比例虽然较低，但其较高的资金执行率显示了公司对可持续发展的重视程度。从单位承诺情况来看，各单位均按计划推进项目实施，其中201单位负责的项目在资金使用效率上表现突出。</w:t>
      </w:r>
    </w:p>
    <w:p>
      <w:pPr>
        <w:ind w:firstLine="400"/>
        <w:jc w:val="both"/>
      </w:pPr>
      <w:r>
        <w:t>此外，值得注意的是，尽管整体趋势向好，但在部分单位中仍存在预算执行不均衡的现象，例如203单位和207单位的资金执行率分别为65%和70%，低于平均水平。这可能需要进一步分析具体原因，并采取相应措施以提高资金使用效率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总体来看，研发类项目的数量和资金占比最高，显示出公司在技术创新方面的持续投入。各责任单位在任务承担上表现出较高的执行力，但预算执行率存在差异，需进一步分析原因以提高整体效率。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资金执行总额为2.4亿元，其中研发类项目占执行资金的55%（1.32亿元），平均执行率90%。基础设施类项目资金执行额为6000万元，占比25%，平均执行率为85%；环保类项目资金执行额为4800万元，占比20%，平均执行率为88%。</w:t>
      </w:r>
    </w:p>
    <w:p>
      <w:pPr>
        <w:ind w:firstLine="400"/>
        <w:jc w:val="both"/>
      </w:pPr>
      <w:r>
        <w:t>在负责单位的承诺方面，单位201和202分别承担了其中的13个和9个项目。单位201的资金执行总额为7600万元，占总执行资金的31.67%，其项目平均执行率为89%；单位202的资金执行总额为5400万元，占比22.5%，其项目平均执行率为87%。</w:t>
      </w:r>
    </w:p>
    <w:p>
      <w:pPr>
        <w:ind w:firstLine="400"/>
        <w:jc w:val="both"/>
      </w:pPr>
      <w:r>
        <w:t>值得注意的是，尽管整体执行率较高，但仍有部分项目的预算执行情况存在差异。例如，环保类项目虽然在数量上较少，但在资金使用效率方面表现突出，显示出较高的战略价值和合规性。此外，研发类项目由于涉及长期投入和技术积累，在资金分配和执行过程中需要持续关注其与公司整体战略的对齐度。</w:t>
      </w:r>
    </w:p>
    <w:p>
      <w:pPr>
        <w:ind w:firstLine="400"/>
        <w:jc w:val="both"/>
      </w:pPr>
      <w:r>
        <w:t>本年度的资金执行情况反映了公司在资源配置上的高效性和精准性，同时也为未来的项目规划提供了宝贵的数据支持。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156个项目，同比增加8%。项目类型分布：型号研制类占比37%（58个），涉火项目占比29%（45个），重点跟踪项目占比18%（28个），新增项目占比16%（25个）。资金执行总额为10.5亿元，其中型号研制类项目占执行资金的42%（4.4亿元），平均执行率为78%。涉火项目的资金执行率为69%，重点跟踪项目的资金执行率为83%，新增项目的资金执行率为72%。</w:t>
      </w:r>
    </w:p>
    <w:p>
      <w:pPr>
        <w:ind w:firstLine="400"/>
        <w:jc w:val="both"/>
      </w:pPr>
      <w:r>
        <w:t>在负责单位承诺方面，单位201、202及其他单位均按时提交了项目进展报告，并完成了年度目标的85%。其中，单位201完成率最高，达到92%，而其他单位平均完成率为83%。值得注意的是，有三个单位的资金执行情况未提供完整数据，导致预算执行率无法准确计算。</w:t>
      </w:r>
    </w:p>
    <w:p>
      <w:pPr>
        <w:ind w:firstLine="400"/>
        <w:jc w:val="both"/>
      </w:pPr>
      <w:r>
        <w:t>业务价值方面，通过优化资源配置和提高项目管理效率，整体项目的按时交付率提高了5个百分点，达到了76%。此外，在合规性方面，所有项目均符合国家及行业标准要求，无违规事件发生。战略层面，本年度的项目布局更加注重可持续发展与技术创新，环保类项目虽未单独列出，但其在型号研制和涉火项目中的占比有所提升。</w:t>
      </w:r>
    </w:p>
    <w:p>
      <w:pPr>
        <w:ind w:firstLine="400"/>
        <w:jc w:val="both"/>
      </w:pPr>
      <w:r>
        <w:t>综上所述，2024年的项目管理取得了显著成效，但在数据完整性和部分单位的资金执行情况方面仍需进一步加强。未来应继续优化资源配置，提高资金使用效率，并确保所有项目的合规性与战略一致性。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