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项目管理情况，特别是在研发类和基础设施类项目上的投入较大，显示出公司对技术创新和基础建设的重视。环保类项目的比例也达到了25%，表明公司在可持续发展方面做出了积极的努力。资金执行率高，显示了良好的财务管理和较高的执行力。然而，部分数据如型号研制项目数量和涉火项目数量暂未提供，可能会影响整体分析的全面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平均执行率为85%，环保类项目资金占比为25%（2.125亿元），平均执行率为88%。</w:t>
      </w:r>
    </w:p>
    <w:p>
      <w:pPr>
        <w:ind w:firstLine="400"/>
        <w:jc w:val="both"/>
      </w:pPr>
      <w:r>
        <w:t>在业务价值方面，研发类项目的高比例和较高的资金投入体现了公司在技术创新方面的持续重视。基础设施类项目的稳定增长表明公司对提升运营效率的承诺。环保类项目的增加反映了公司对于可持续发展的战略关注，并且符合当前政策导向。各类型项目均保持了较高的执行率，显示了良好的预算管理和高效的资源配置能力。</w:t>
      </w:r>
    </w:p>
    <w:p>
      <w:pPr>
        <w:ind w:firstLine="400"/>
        <w:jc w:val="both"/>
      </w:pPr>
      <w:r>
        <w:t>需要注意的是，在数据完整性方面，所有关键指标均有记录，未发现明显的数据缺失或异常情况。</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中，各责任单位的资金执行情况如下：单位201的预算执行率为92%，单位202的预算执行率为87%，其他单位平均预算执行率为86%。这些数据表明，在项目资金管理方面，各单位均保持了较高的执行效率和合规性。</w:t>
      </w:r>
    </w:p>
    <w:p>
      <w:pPr>
        <w:ind w:firstLine="400"/>
        <w:jc w:val="both"/>
      </w:pPr>
      <w:r>
        <w:t>值得注意的是，尽管整体上各项目的资金执行情况良好，但仍有3个责任单位未能提供完整的预算执行率数据，这可能影响到对部分项目财务健康状况的全面评估。未来应进一步加强数据收集与报告机制，确保所有关键指标的数据完整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方面，所有项目的合计为304个。</w:t>
      </w:r>
    </w:p>
    <w:p>
      <w:pPr>
        <w:ind w:firstLine="400"/>
        <w:jc w:val="both"/>
      </w:pPr>
      <w:r>
        <w:t>资金执行总额215.67亿元，其中研发类项目占执行资金的具体比例和金额未能提供详细数据。平均执行率的数据同样缺失，无法计算得出具体数值。</w:t>
      </w:r>
    </w:p>
    <w:p>
      <w:pPr>
        <w:ind w:firstLine="400"/>
        <w:jc w:val="both"/>
      </w:pPr>
      <w:r>
        <w:t>在业务价值方面，尽管具体的效率提升、合规性和战略对齐情况未有明确数据支持，但可以推测通过项目的持续管理和跟踪，组织可能实现了资源的有效配置与利用。然而，由于部分关键指标的缺失或不完整，上述推断需进一步的数据验证以确保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