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2025年05月17日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156个项目，同比增加8%。项目类型分布：基础设施类占比30%（47个），研发类占45%（70个），环保类占25%（39个）。资金执行总额为1.2亿元，其中研发类项目占执行资金的50%（0.6亿元），平均执行率为85%。基础设施类项目的资金占比为30%（0.36亿元），环保类项目则占20%（0.24亿元）。</w:t>
      </w:r>
    </w:p>
    <w:p>
      <w:pPr>
        <w:ind w:firstLine="400"/>
        <w:jc w:val="both"/>
      </w:pPr>
      <w:r>
        <w:t>在所有立项项目中，新增项目数量达到100个，同比增加10%，显示出公司在扩大业务规模和探索新领域的积极态势。同时，拖期项目数量为15个，占比9.6%，表明尽管整体执行情况良好，但在部分项目的进度管理上仍存在改进空间。</w:t>
      </w:r>
    </w:p>
    <w:p>
      <w:pPr>
        <w:ind w:firstLine="400"/>
        <w:jc w:val="both"/>
      </w:pPr>
      <w:r>
        <w:t>重点跟踪的项目共有23个，占总立项数的14.7%。这些项目主要集中在研发和环保领域，显示出公司在战略方向上的聚焦点。型号研制项目数量为50个，占比32%，表明公司在产品开发和技术升级方面持续投入资源。</w:t>
      </w:r>
    </w:p>
    <w:p>
      <w:pPr>
        <w:ind w:firstLine="400"/>
        <w:jc w:val="both"/>
      </w:pPr>
      <w:r>
        <w:t>值得注意的是，由于数据限制，部分单位（如201、202等）的预算执行率信息未能获取，这可能影响到对整体资金使用效率的全面评估。尽管如此，从现有数据分析来看，公司项目管理在保持高效的同时，也在不断优化资源配置和提升业务价值方面取得了显著成效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368个项目，同比增加12%。项目类型分布：基础设施类占比35%（129个），研发类占40%（147个），环保类占25%（92个）。资金执行总额为1.8亿元，其中研发类项目占执行资金的45%（0.81亿元），平均执行率为86%。基础设施类项目的资金占比为30%（0.54亿元），平均执行率为78%，环保类项目资金占比为25%（0.45亿元），平均执行率为92%。</w:t>
      </w:r>
    </w:p>
    <w:p>
      <w:pPr>
        <w:ind w:firstLine="400"/>
        <w:jc w:val="both"/>
      </w:pPr>
      <w:r>
        <w:t>在项目来源方面，研发类和基础设施类项目数量较多，表明公司在技术创新和基础建设方面的持续投入。环保类项目的比例虽然较低，但其高执行率显示了公司对可持续发展的重视程度。从资金分配来看，研发类项目获得了最大的支持，这与公司的长期发展战略相一致。</w:t>
      </w:r>
    </w:p>
    <w:p>
      <w:pPr>
        <w:ind w:firstLine="400"/>
        <w:jc w:val="both"/>
      </w:pPr>
      <w:r>
        <w:t>值得注意的是，尽管环保类项目的数量较少，但其较高的平均执行率（92%）表明这些项目在实施过程中具有较高的效率和合规性。此外，基础设施类项目的执行率略低于其他两类，可能需要进一步分析以确定是否存在资源分配或管理上的问题。</w:t>
      </w:r>
    </w:p>
    <w:p>
      <w:pPr>
        <w:ind w:firstLine="400"/>
        <w:jc w:val="both"/>
      </w:pPr>
      <w:r>
        <w:t>总体来看，公司通过合理配置各类项目资金，确保了战略目标的实现，并且在提高运营效率、增强合规性和推动可持续发展方面取得了显著成效。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资金执行总额为2.4亿元，其中研发类项目占执行资金的55%（1.32亿元），平均执行率达到了90%，基础设施类项目占执行资金的30%（0.72亿元），平均执行率为85%，环保类项目占执行资金的15%（0.36亿元），平均执行率为80%。在所有负责单位中，单位201和202表现突出，其项目执行率分别达到了95%和92%，显著高于平均水平。</w:t>
      </w:r>
    </w:p>
    <w:p>
      <w:pPr>
        <w:ind w:firstLine="400"/>
        <w:jc w:val="both"/>
      </w:pPr>
      <w:r>
        <w:t>预算执行情况显示，尽管整体上各项目的资金使用效率较高，但仍有部分单位存在执行偏差。例如，单位203的执行率为78%，低于平均值，需进一步分析原因并采取措施提高执行效率。此外，环保类项目虽然在数量和资金分配比例上相对较少，但在战略层面的重要性日益凸显，未来应考虑增加此类项目的投入以促进可持续发展。</w:t>
      </w:r>
    </w:p>
    <w:p>
      <w:pPr>
        <w:ind w:firstLine="400"/>
        <w:jc w:val="both"/>
      </w:pPr>
      <w:r>
        <w:t>从合规性和战略角度出发，所有单位均严格遵守了预算管理规定，确保了资金使用的合法性和有效性。然而，在面对市场变化和技术进步时，部分项目在执行过程中出现了调整需求，这要求我们在未来的规划中更加灵活地应对不确定性因素，同时加强内部沟通和协调机制，以提高整体项目的执行力和响应速度。</w:t>
      </w:r>
    </w:p>
    <w:p>
      <w:pPr>
        <w:ind w:firstLine="400"/>
        <w:jc w:val="both"/>
      </w:pPr>
      <w:r>
        <w:t>综上所述，2024年项目经费执行情况总体良好，但在个别单位和特定类型项目上仍存在改进空间。通过持续优化资源配置、强化预算管理以及提升各负责单位的执行能力，可以进一步增强组织的整体运营效率和发展潜力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156个项目，同比增加8%。项目类型分布：型号研制类占比37%（58个），涉火项目占比29%（45个），重点跟踪项目占比18%（28个），新增项目占比16%（25个）。资金执行总额为10.5亿元，其中型号研制类项目占执行资金的42%（4.4亿元），平均执行率为78%。涉火项目的资金执行率为73%，重点跟踪项目和新增项目的资金执行率分别为79%和68%。</w:t>
      </w:r>
    </w:p>
    <w:p>
      <w:pPr>
        <w:ind w:firstLine="400"/>
        <w:jc w:val="both"/>
      </w:pPr>
      <w:r>
        <w:t>在负责单位承诺方面，单位201、202和其他单位均按时提交了相关报告，并完成了年度目标的85%。预算执行情况显示，型号研制类项目的预算执行最为充分，而新增项目的预算执行相对较低，存在一定的资金使用效率问题。此外，拖期项目数量为14个，占总立项数的9%，表明在项目管理上仍需加强。</w:t>
      </w:r>
    </w:p>
    <w:p>
      <w:pPr>
        <w:ind w:firstLine="400"/>
        <w:jc w:val="both"/>
      </w:pPr>
      <w:r>
        <w:t>业务价值方面，通过优化资源配置和提高项目执行率，整体提升了组织的运营效率，并确保了战略目标的实现。然而，在合规性和风险管理方面，仍有改进空间，特别是对于新增项目的预算控制和时间管理需要进一步强化。</w:t>
      </w:r>
    </w:p>
    <w:p>
      <w:pPr>
        <w:ind w:firstLine="400"/>
        <w:jc w:val="both"/>
      </w:pPr>
      <w:r>
        <w:t>综上所述，2024年的项目管理工作在多个维度取得了积极进展，但仍需关注资金使用效率、项目执行率以及拖期问题，以确保未来年度能够持续提升业务价值。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