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2025年05月14日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其预算执行率分别为92%和88%，其余单位的预算执行情况参差不齐，部分单位如204、205的预算执行率低于70%，存在较大的改进空间。</w:t>
      </w:r>
    </w:p>
    <w:p>
      <w:pPr>
        <w:ind w:firstLine="400"/>
        <w:jc w:val="both"/>
      </w:pPr>
      <w:r>
        <w:t>从资金使用效率来看，研发类项目的高执行率表明了公司在技术创新方面的投入得到了有效利用。基础设施项目虽然执行率略低，但其在支持公司长期发展方面的作用不容忽视。环保类项目尽管占比不高，但在推动企业可持续发展战略上具有重要意义。总体而言，2024年的资金使用情况基本符合公司的战略规划和业务需求，但仍需关注部分单位的预算执行效率问题，并采取相应措施加以改进。</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具体数值未提供（数量未知），涉火项目占比具体数值未提供（数量未知），重点跟踪项目占比具体数值未提供（数量未知）。新增项目和拖期项目的具体数量也未给出。</w:t>
      </w:r>
    </w:p>
    <w:p>
      <w:pPr>
        <w:ind w:firstLine="400"/>
        <w:jc w:val="both"/>
      </w:pPr>
      <w:r>
        <w:t>资金执行总额及各类型项目所占比例数据缺失，无法计算平均执行率。预算执行情况中，有3/10的责任单位的预算执行率数据不可用，导致整体分析存在局限性。</w:t>
      </w:r>
    </w:p>
    <w:p>
      <w:pPr>
        <w:ind w:firstLine="400"/>
        <w:jc w:val="both"/>
      </w:pPr>
      <w:r>
        <w:t>在业务价值方面，尽管具体数值未能提供，但可以推测型号研制类项目的增加可能有助于提升技术竞争力和市场响应速度；涉火项目则可能对安全合规性和风险管理具有重要意义。然而，由于缺乏详细的数据支持，上述推断仅作为参考，实际影响需进一步分析确认。</w:t>
      </w:r>
    </w:p>
    <w:p>
      <w:pPr>
        <w:ind w:firstLine="400"/>
        <w:jc w:val="both"/>
      </w:pPr>
      <w:r>
        <w:t>综上所述，2024年的项目管理在数量上有显著增长趋势，但具体类型分布、资金执行情况及各责任单位的预算执行率数据存在缺失或不完整的情况，这限制了对整体业务价值和战略方向的深入评估。未来应加强数据收集与分析能力，以提供更全面准确的信息支持决策制定。</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