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数量为45个，新增项目数量为90个，拖期项目数量为15个。型号研制项目和涉火项目的具体数据暂未提供。</w:t>
      </w:r>
    </w:p>
    <w:p>
      <w:pPr>
        <w:ind w:firstLine="400"/>
        <w:jc w:val="both"/>
      </w:pPr>
      <w:r>
        <w:t>在业务价值方面，研发类项目的高占比表明公司在技术创新方面的持续投入，有助于提升公司的核心竞争力。环保类项目的增加反映了公司对可持续发展的重视，有利于增强企业的社会责任感和品牌形象。基础设施类项目的稳定增长则确保了公司的运营基础稳固，为其他类型项目提供了必要的支持条件。</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与实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项目平均执行率为87%；单位202的资金执行总额为6000万元，占比25%，其项目平均执行率为89%。</w:t>
      </w:r>
    </w:p>
    <w:p>
      <w:pPr>
        <w:ind w:firstLine="400"/>
        <w:jc w:val="both"/>
      </w:pPr>
      <w:r>
        <w:t>值得注意的是，尽管整体资金执行情况良好，但有三个单位（分别为201、202和204）的预算执行率存在显著差异。其中，单位204由于特殊原因导致其部分项目的执行进度滞后，影响了整体的资金使用效率。此外，项目经费执行过程中未发现重大违规行为，所有资金均按照既定计划进行分配与使用。</w:t>
      </w:r>
    </w:p>
    <w:p>
      <w:pPr>
        <w:ind w:firstLine="400"/>
        <w:jc w:val="both"/>
      </w:pPr>
      <w:r>
        <w:t>综上所述，2024年项目经费执行情况总体良好，各类型项目及负责单位在预算执行方面表现稳定，但需进一步关注个别单位的执行进度和效率问题。</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提供。</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给出，但可以推测型号研制类项目的增加可能有助于提升技术竞争力和市场响应速度；涉火项目则可能对安全合规性和风险管理具有重要意义。然而，由于缺乏详细的数据支持，上述推断仅作为参考，实际影响需进一步分析确认。</w:t>
      </w:r>
    </w:p>
    <w:p>
      <w:pPr>
        <w:ind w:firstLine="400"/>
        <w:jc w:val="both"/>
      </w:pPr>
      <w:r>
        <w:t>综上所述，2024年的项目管理在数量上有显著增长趋势，但具体类型分布、资金执行情况及各责任单位的预算执行率数据存在缺失或不完整的情况，这限制了对整体业务价值和战略方向的深入评估。未来应加强数据收集与分析能力，以提供更全面准确的信息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