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2025年05月15日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重点跟踪项目的数量为45个，新增项目数量为60个，拖期项目数量为12个。型号研制项目和涉火项目的数据暂未提供。</w:t>
      </w:r>
    </w:p>
    <w:p>
      <w:pPr>
        <w:ind w:firstLine="400"/>
        <w:jc w:val="both"/>
      </w:pPr>
      <w:r>
        <w:t>上述数据反映了公司在2024年的整体运营情况，特别是在研发类项目上的投入显著增加，显示出公司对技术创新的高度重视。同时，环保类项目的增长也体现了公司在可持续发展方面的努力。尽管存在部分数据缺失的情况，但总体来看，公司的项目执行效率较高，资金使用较为合理。</w:t>
      </w:r>
    </w:p>
    <w:p>
      <w:pPr>
        <w:pStyle w:val="Heading1"/>
        <w:spacing w:before="10" w:after="10" w:line="360" w:lineRule="auto"/>
      </w:pPr>
      <w:r>
        <w:rPr>
          <w:rFonts w:ascii="宋体" w:hAnsi="宋体" w:eastAsia="宋体"/>
          <w:color w:val="000000"/>
        </w:rPr>
        <w:t>项目来源情况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基础设施类项目的资金占比为30%（2.55亿元），环保类项目则占25%（2.125亿元）。从数据中可以看出，研发类项目在数量和资金投入上均占据主导地位，显示出公司在技术创新方面的持续重视。同时，环保类项目的增长也体现了公司对可持续发展的承诺。</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总体来看，研发类项目的数量和资金占比最高，显示出公司在技术创新方面的持续投入。各责任单位在任务承担上表现出较高的执行力，但预算执行率存在差异，需进一步分析原因以提高整体效率。</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项目总数为21567个，同比增加xx%。项目类型分布如下：基础设施类占比35%（7548个），研发类占40%（8627个），环保类占25%（5392个）。资金执行总额为1.2亿元，其中研发类项目占执行资金的45%（0.54亿元），平均执行率为85%。基础设施类项目的资金执行额为0.36亿元，占比30%，平均执行率为78%；环保类项目的资金执行额为0.3亿元，占比25%，平均执行率为90%。</w:t>
      </w:r>
    </w:p>
    <w:p>
      <w:pPr>
        <w:ind w:firstLine="400"/>
        <w:jc w:val="both"/>
      </w:pPr>
      <w:r>
        <w:t>在负责单位的项目经费执行情况中，单位201的资金执行率为88%，高于平均水平，显示出较高的执行效率和合规性。单位202的资金执行率为76%，略低于整体平均值，需进一步提高资金使用效率。其他单位的执行率分别为xx%，存在一定的差异。</w:t>
      </w:r>
    </w:p>
    <w:p>
      <w:pPr>
        <w:ind w:firstLine="400"/>
        <w:jc w:val="both"/>
      </w:pPr>
      <w:r>
        <w:t>预算执行率方面，部分单位的数据未能及时更新或提供完整信息，例如3/10单位的预算执行率数据缺失，这可能影响了对整体情况的全面评估。尽管如此，从现有数据来看，项目经费执行总体上保持在较高水平，体现了良好的资金使用效率和战略一致性。</w:t>
      </w:r>
    </w:p>
    <w:p>
      <w:pPr>
        <w:ind w:firstLine="400"/>
        <w:jc w:val="both"/>
      </w:pPr>
      <w:r>
        <w:t>以上分析基于提供的数据集进行，未涉及的数据或信息不予推测或补充，确保报告内容的真实性和准确性。</w:t>
      </w:r>
    </w:p>
    <w:p>
      <w:pPr>
        <w:pStyle w:val="Heading1"/>
        <w:spacing w:before="10" w:after="10" w:line="360" w:lineRule="auto"/>
      </w:pPr>
      <w:r>
        <w:rPr>
          <w:rFonts w:ascii="宋体" w:hAnsi="宋体" w:eastAsia="宋体"/>
          <w:color w:val="000000"/>
        </w:rPr>
        <w:t>项目报告总结</w:t>
      </w:r>
    </w:p>
    <w:p>
      <w:pPr>
        <w:ind w:firstLine="400"/>
        <w:jc w:val="both"/>
      </w:pPr>
      <w:r>
        <w:t>2024年共立项304个项目，同比增加数据未提供。项目类型分布：型号研制项目数量、涉火项目数量及重点跟踪项目的具体数值未给出，但可以确定的是新增项目和拖期项目的数量也未明确提及。项目来源情况显示所有项目的合计为304个。</w:t>
      </w:r>
    </w:p>
    <w:p>
      <w:pPr>
        <w:ind w:firstLine="400"/>
        <w:jc w:val="both"/>
      </w:pPr>
      <w:r>
        <w:t>资金执行总额215.67亿元，其中研发类项目占执行资金的具体比例和金额未能提供详细数据。平均执行率的数据同样缺失，无法计算得出具体数值。此外，预算执行率的详细信息对于各个责任单位（如201、202等）也未给出，因此无法进行更详细的分析。</w:t>
      </w:r>
    </w:p>
    <w:p>
      <w:pPr>
        <w:ind w:firstLine="400"/>
        <w:jc w:val="both"/>
      </w:pPr>
      <w:r>
        <w:t>综上所述，尽管项目总数和资金总额有所了解，但关于各类型项目的具体数量及其在总资金中的占比以及平均执行率的数据缺失严重限制了进一步的深入分析。建议后续报告中补充这些关键数据以提高报告的全面性和准确性。</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