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2025年05月14日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的数量为45个，新增项目数量为90个，拖期项目数量为15个。型号研制项目和涉火项目的数据暂未提供。</w:t>
      </w:r>
    </w:p>
    <w:p>
      <w:pPr>
        <w:ind w:firstLine="400"/>
        <w:jc w:val="both"/>
      </w:pPr>
      <w:r>
        <w:t>上述数据表明，在过去的一年中，公司在研发类项目上投入了大量资源，并且在资金执行方面表现出了较高的效率。然而，仍有部分项目的执行进度滞后，需要进一步关注以确保整体目标的实现。</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执行资金占比25%（0.6亿元），平均执行率为85%，环保类项目执行资金占比20%（0.48亿元），平均执行率为87%。</w:t>
      </w:r>
    </w:p>
    <w:p>
      <w:pPr>
        <w:ind w:firstLine="400"/>
        <w:jc w:val="both"/>
      </w:pPr>
      <w:r>
        <w:t>在预算执行方面，所有单位均按时提交了相关报告，但值得注意的是，3/10的单位未能提供详细的预算执行情况说明。具体来看，单位201的研发项目执行率最高，达到95%，而环保类项目的执行率则相对较低，为84%。这表明在研发领域的资金使用效率较高，但在环保领域可能需要进一步优化资源配置和管理流程。</w:t>
      </w:r>
    </w:p>
    <w:p>
      <w:pPr>
        <w:ind w:firstLine="400"/>
        <w:jc w:val="both"/>
      </w:pPr>
      <w:r>
        <w:t>从战略角度来看，研发类项目的高执行率反映了公司在技术创新方面的持续投入与重视，有助于提升公司的核心竞争力。同时，尽管环保类项目占比不高，但其较高的执行率也体现了公司对可持续发展的承诺及在该领域的积极行动。然而，基础设施类项目的资金使用效率略低于其他两类，可能需要进一步分析具体原因并采取相应措施以提高整体的资金利用效率。</w:t>
      </w:r>
    </w:p>
    <w:p>
      <w:pPr>
        <w:ind w:firstLine="400"/>
        <w:jc w:val="both"/>
      </w:pPr>
      <w:r>
        <w:t>综上所述，2024年公司在项目经费执行方面表现良好，特别是在研发和环保领域取得了显著成效。未来应继续优化资源配置，确保所有项目均能高效、合规地使用资金，并持续关注基础设施类项目的执行情况，以实现公司战略目标的全面达成。</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给出，但可以推测型号研制类项目的增加可能有助于提升技术竞争力和市场响应速度；涉火项目则可能对安全合规性和风险管理具有重要意义。然而，由于缺乏详细的数据支持，上述推断仅作为参考，实际影响需进一步分析确认。</w:t>
      </w:r>
    </w:p>
    <w:p>
      <w:pPr>
        <w:ind w:firstLine="400"/>
        <w:jc w:val="both"/>
      </w:pPr>
      <w:r>
        <w:t>综上所述，2024年的项目管理在数量上有显著增长趋势，但具体类型分布、资金执行情况及各责任单位的预算执行率数据存在缺失或不完整的情况，这限制了对整体业务价值和战略方向的深入评估。未来应加强数据收集与分析能力，以提供更全面准确的信息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