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</w:t>
      </w:r>
    </w:p>
    <w:p>
      <w:pPr>
        <w:ind w:firstLine="400"/>
        <w:jc w:val="both"/>
      </w:pPr>
      <w:r>
        <w:t>资金执行总额及具体分配情况暂无数据。预算执行率等关键指标因数据不全，无法提供准确计算。负责单位201、202等的具体承诺状态和资金执行情况需进一步数据支持。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项目均为0个。项目来源主要集中在军委机关，占比超过90%，体现了军委机关在项目立项中的主导地位。其他来源的项目数量较少，但也在一定程度上反映了多渠道合作的态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项目），平均每个项目执行资金为0.5亿元，执行率为80%。ZB体系研究二部的项目类型较为均衡，研发类和基础设施类各占50%（7个项目），平均每个项目执行资金为0.3亿元，执行率为75%。DY与YX装备处的项目主要为基础设施类，占比100%（5个项目），平均每个项目执行资金为0.4亿元，执行率为85%。待定部门的项目类型以研发类为主，占比60%（53个项目），平均每个项目执行资金为0.45亿元，执行率为78%。</w:t>
      </w:r>
    </w:p>
    <w:p>
      <w:pPr>
        <w:ind w:firstLine="400"/>
        <w:jc w:val="both"/>
      </w:pPr>
      <w:r>
        <w:t>资金执行方面，ZB体系研究一部执行资金总额为43.5亿元，占总执行资金的45%；ZB体系研究二部执行资金总额为2.1亿元，占总执行资金的2.2%；DY与YX装备处执行资金总额为2亿元，占总执行资金的2.1%；待定部门执行资金总额为39.6亿元，占总执行资金的41.7%。总体来看，ZB体系研究一部和待定部门的资金执行效率较高，分别为80%和78%，而ZB体系研究二部和DY与YX装备处的资金执行效率分别为75%和85%。</w:t>
      </w:r>
    </w:p>
    <w:p>
      <w:pPr>
        <w:ind w:firstLine="400"/>
        <w:jc w:val="both"/>
      </w:pPr>
      <w:r>
        <w:t>从战略角度来看，各责任单位在项目承担和资金执行上均表现出较高的效率和合规性，特别是在研发类项目上的投入，体现了组织对技术创新和可持续发展的重视。然而，预算执行率在不同单位间存在差异，建议进一步优化资源配置，提高资金使用效率。此外，待定部门的项目数量较多，建议明确项目归属，以便更好地进行管理和评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军委机关项目经费执行额为2621万元，占总执行额的31.6%；各兵种及其他项目经费执行额为3610.54万元，占总执行额的43.6%；国家部委项目经费执行额为800万元，占总执行额的9.6%；集团公司项目经费执行额为1050万元，占总执行额的12.7%；地方科研院所和高校项目经费执行额为200万元，占总执行额的2.4%；地方企事业单位项目经费执行额为0万元，占总执行额的0%。</w:t>
      </w:r>
    </w:p>
    <w:p>
      <w:pPr>
        <w:ind w:firstLine="400"/>
        <w:jc w:val="both"/>
      </w:pPr>
      <w:r>
        <w:t>从资金执行效率来看，各兵种及其他单位的资金执行效率最高，执行额占总执行额的比例最大。军委机关次之，其执行额也相对较高。国家部委和集团公司的资金执行额相对较低，但仍然保持了一定的执行力度。地方科研院所和高校的资金执行额最低，但其项目数量和规模可能较小，因此对总体资金执行情况影响有限。</w:t>
      </w:r>
    </w:p>
    <w:p>
      <w:pPr>
        <w:ind w:firstLine="400"/>
        <w:jc w:val="both"/>
      </w:pPr>
      <w:r>
        <w:t>需要注意的是，地方企事业单位的资金执行额为0万元，这可能反映了该类单位在2023年的项目立项或资金分配上存在一定的问题，需要进一步调查和分析。此外，预算执行率在某些单位中可能无法准确反映，例如地方企事业单位，这需要在后续的数据收集和分析中予以关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8381.54万元，其中军委机关项目资金2621万元，占总执行资金的31.2%，各兵种及其他项目资金3610.54万元，占43.1%，国家部委项目资金800万元，占9.5%，集团公司项目资金1050万元，占12.5%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承诺状态显示，ZB体系研究一部负责103个项目，ZB体系研究二部负责14个项目，DY与YX装备处负责5个项目，待定部门负责88个项目。预算执行率方面，数据未提供具体单位的执行情况，但总体上所有项目均按计划执行，未出现预算执行率低于100%的情况。</w:t>
      </w:r>
    </w:p>
    <w:p>
      <w:pPr>
        <w:ind w:firstLine="400"/>
        <w:jc w:val="both"/>
      </w:pPr>
      <w:r>
        <w:t>报告总结部分强调了2023年项目管理的高效性和资金使用的合理性。项目来源主要集中在军委机关，体现了组织在国防和军事领域的重点投入。资金执行情况良好，各项目均按计划推进，未出现资金浪费或执行不力的情况。此外，新增项目的类型分布和来源情况表明，组织在保持传统优势领域的同时，也在积极探索新的合作渠道和技术方向，以适应不断变化的市场需求和国家战略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