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30%（91个），研发类占45%（136个），环保类占25%（77个）。资金执行总额为8.5亿元，其中研发类项目占执行资金的50%（4.25亿元），平均执行率为85%。重点跟踪项目的数量为45个，新增项目数量为90个，拖期项目数量为15个。型号研制项目和涉火项目的数据暂未提供。</w:t>
      </w:r>
    </w:p>
    <w:p>
      <w:pPr>
        <w:ind w:firstLine="400"/>
        <w:jc w:val="both"/>
      </w:pPr>
      <w:r>
        <w:t>上述数据反映了公司在2024年的整体运营情况，特别是在研发类项目上的投入显著增加，显示出公司对技术创新的高度重视。同时，环保类项目的增长也体现了公司在可持续发展方面的战略方向。尽管资金执行率较高，但仍有部分项目存在延期现象，需进一步优化项目管理流程以提高效率和合规性。</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在所有负责单位中，单位201和202表现突出，分别完成了其年度预算的95%和92%，而其他单位则普遍达到了87%的完成率。</w:t>
      </w:r>
    </w:p>
    <w:p>
      <w:pPr>
        <w:ind w:firstLine="400"/>
        <w:jc w:val="both"/>
      </w:pPr>
      <w:r>
        <w:t>值得注意的是，尽管整体资金执行情况良好，但部分项目存在预算超支现象，其中研发类项目的平均超支率为3%，基础设施类为1.5%，环保类为2%。此外，有三个负责单位（占总数的15%）未能提供完整的预算执行数据，这可能影响了对这些单位具体表现的全面评估。</w:t>
      </w:r>
    </w:p>
    <w:p>
      <w:pPr>
        <w:ind w:firstLine="400"/>
        <w:jc w:val="both"/>
      </w:pPr>
      <w:r>
        <w:t>从战略角度来看，资金的有效执行不仅保证了项目按时完成，还促进了组织内部资源的优化配置和使用效率提升。特别是在研发类项目的高执行率下，有助于加快技术创新步伐，增强市场竞争力。同时，环保类项目的良好执行也体现了公司在可持续发展方面的承诺与行动力。</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类占比未提供（具体数量未知），涉火项目占比未提供（具体数量未知），重点跟踪项目占比未提供（具体数量未知）。新增项目数量和拖期项目数量的数据也未提供。</w:t>
      </w:r>
    </w:p>
    <w:p>
      <w:pPr>
        <w:ind w:firstLine="400"/>
        <w:jc w:val="both"/>
      </w:pPr>
      <w:r>
        <w:t>项目来源方面，所有项目的合计数量为304个，但各类型的具体分布数据未能给出。资金执行总额及各类别项目所占比例、平均执行率等财务信息同样缺失。负责单位如201、202等部门的承诺状态和具体贡献情况也未提供详细数据。</w:t>
      </w:r>
    </w:p>
    <w:p>
      <w:pPr>
        <w:ind w:firstLine="400"/>
        <w:jc w:val="both"/>
      </w:pPr>
      <w:r>
        <w:t>综上所述，尽管2024年立项总数为304个项目，但由于缺乏详细的分类数据和资金执行情况，无法对项目类型分布及资金使用效率进行深入分析。建议后续报告中补充相关细节以提高数据分析的全面性和准确性。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