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2025年05月16日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30%（91个），研发类占45%（136个），环保类占25%（77个）。资金执行总额为8.5亿元，其中研发类项目占执行资金的50%（4.25亿元），平均执行率为85%。重点跟踪项目的数量为45个，新增项目数量为90个，拖期项目数量为15个。型号研制项目和涉火项目的数据暂未提供。</w:t>
      </w:r>
    </w:p>
    <w:p>
      <w:pPr>
        <w:ind w:firstLine="400"/>
        <w:jc w:val="both"/>
      </w:pPr>
      <w:r>
        <w:t>在业务价值方面，研发类项目的高占比表明公司在技术创新方面的持续投入，有助于提升公司的核心竞争力。环保类项目的增加反映了公司对可持续发展的重视，有利于增强企业的社会责任感和品牌形象。基础设施类项目的稳定增长则确保了公司的运营基础稳固，为其他类型项目的顺利实施提供了保障。</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平均执行率为85%，环保类项目资金占比为25%（2.125亿元），平均执行率为88%。</w:t>
      </w:r>
    </w:p>
    <w:p>
      <w:pPr>
        <w:ind w:firstLine="400"/>
        <w:jc w:val="both"/>
      </w:pPr>
      <w:r>
        <w:t>在业务价值方面，研发类项目的高比例和较高的资金投入体现了公司在技术创新方面的持续重视。基础设施类项目的稳定增长表明公司对提升运营效率的承诺。环保类项目的增加反映了公司对于可持续发展的战略关注，并符合相关法规要求。各类型项目均保持了较高的执行率，显示了良好的预算管理和高效的资源配置能力。</w:t>
      </w:r>
    </w:p>
    <w:p>
      <w:pPr>
        <w:ind w:firstLine="400"/>
        <w:jc w:val="both"/>
      </w:pPr>
      <w:r>
        <w:t>需要注意的是，在分析过程中发现部分单位的资金执行数据存在缺失情况，具体为3/10单位的数据未提供完整信息，这可能影响整体数据分析的全面性。</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38个项目，同比增加12%。项目类型分布：基础设施类占比39.5%（15个），研发类占42.1%（16个），环保类占18.4%（7个）。资金执行总额为2.1567亿元，其中研发类项目占执行资金的45.3%（0.977亿元），平均执行率为89%。基础设施类项目的资金执行额为0.78亿元，占比36%，环保类项目资金执行额为0.3997亿元，占比18.5%。</w:t>
      </w:r>
    </w:p>
    <w:p>
      <w:pPr>
        <w:ind w:firstLine="400"/>
        <w:jc w:val="both"/>
      </w:pPr>
      <w:r>
        <w:t>在2024年，各责任单位的资金执行情况如下：单位201的预算执行率为92%，单位202的预算执行率为87%，其他单位平均预算执行率为86%。这些数据表明，在项目资金管理方面，各单位均保持了较高的执行率，体现了良好的财务管理和高效的资源配置能力。</w:t>
      </w:r>
    </w:p>
    <w:p>
      <w:pPr>
        <w:ind w:firstLine="400"/>
        <w:jc w:val="both"/>
      </w:pPr>
      <w:r>
        <w:t>值得注意的是，尽管环保类项目的数量较少，但其资金执行额占总执行金额的比例较高，显示出公司在可持续发展方面的投入力度加大。此外，研发类项目的高预算执行率（91%）表明公司对技术创新和产品开发的重视程度，这有助于提升公司的长期竞争力和市场地位。</w:t>
      </w:r>
    </w:p>
    <w:p>
      <w:pPr>
        <w:ind w:firstLine="400"/>
        <w:jc w:val="both"/>
      </w:pPr>
      <w:r>
        <w:t>综上所述，2024年项目经费执行情况总体良好，各类型项目均得到了有效资金支持，特别是在研发和环保领域投入较大。未来应继续关注预算执行率的变化趋势，并确保所有项目的资金使用符合既定目标和战略方向。</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方面，所有项目的合计为304个。</w:t>
      </w:r>
    </w:p>
    <w:p>
      <w:pPr>
        <w:ind w:firstLine="400"/>
        <w:jc w:val="both"/>
      </w:pPr>
      <w:r>
        <w:t>资金执行总额215.67亿元，其中研发类项目占执行资金的具体比例和金额未能提供详细数据。平均执行率的数据同样缺失，无法计算得出具体数值。</w:t>
      </w:r>
    </w:p>
    <w:p>
      <w:pPr>
        <w:ind w:firstLine="400"/>
        <w:jc w:val="both"/>
      </w:pPr>
      <w:r>
        <w:t>在业务价值上，尽管具体的效率提升、合规性和战略对齐情况未有明确数据支持，但可以推测通过项目的持续管理和跟踪，组织可能实现了资源的有效配置与利用。然而，由于部分关键指标的缺失或不完整，上述推断需进一步的数据验证以确保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