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的资金执行率为85%，环保类项目的资金执行率为95%。</w:t>
      </w:r>
    </w:p>
    <w:p>
      <w:pPr>
        <w:ind w:firstLine="400"/>
        <w:jc w:val="both"/>
      </w:pPr>
      <w:r>
        <w:t>在负责单位方面，单位201的资金执行率为92%，共涉及7个项目；单位202的资金执行率为88%，共涉及6个项目。其他单位的总体平均执行率为89%。值得注意的是，预算执行率对于3/10个单位的数据不可用，这可能影响整体分析的完整性。</w:t>
      </w:r>
    </w:p>
    <w:p>
      <w:pPr>
        <w:ind w:firstLine="400"/>
        <w:jc w:val="both"/>
      </w:pPr>
      <w:r>
        <w:t>从效率和合规性角度来看，高资金执行率表明项目管理的有效性和资源利用的高效性。研发类项目的高占比及相应的资金投入反映了组织对创新和技术进步的战略重视。环保类项目的高执行率则体现了组织在可持续发展方面的承诺与实践。</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提供。</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量化指标未能完全呈现，但可以推测通过项目的持续立项和管理，组织在型号研制、涉火项目及重点跟踪等方面保持了一定的发展势头。然而，由于部分关键数据缺失或未提供，对于效率提升、合规性和战略对齐的具体影响评估受限。</w:t>
      </w:r>
    </w:p>
    <w:p>
      <w:pPr>
        <w:ind w:firstLine="400"/>
        <w:jc w:val="both"/>
      </w:pPr>
      <w:r>
        <w:t>综上所述，2024年的项目报告总结显示了项目数量的增长趋势，但缺乏详细的类型分布和资金执行情况的数据支持，这限制了更深入的分析和业务价值的全面评估。建议未来数据收集时增加这些关键指标以提高报告的完整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